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3F90" w14:textId="77777777" w:rsidR="007A7E45" w:rsidRPr="00FE4B89" w:rsidRDefault="007A7E45" w:rsidP="00FE4B89"/>
    <w:p w14:paraId="07745042" w14:textId="77777777" w:rsidR="00640A38" w:rsidRDefault="000C6381">
      <w:pPr>
        <w:pStyle w:val="Naslov1"/>
      </w:pPr>
      <w:r>
        <w:t>OBRAZLOŽENJE OPĆEG DIJELA FINANCIJSKOG PLANA</w:t>
      </w:r>
    </w:p>
    <w:p w14:paraId="14379865" w14:textId="77777777" w:rsidR="00640A38" w:rsidRDefault="000C6381">
      <w:pPr>
        <w:pStyle w:val="Naslov2"/>
      </w:pPr>
      <w:r>
        <w:t>07745 Agencija za ugljikovodike</w:t>
      </w:r>
    </w:p>
    <w:p w14:paraId="33DE18CF" w14:textId="77777777" w:rsidR="00640A38" w:rsidRDefault="000C6381">
      <w:r>
        <w:t xml:space="preserve">OBRAZLOŽENJE OPĆEG DIJELA FINANCIJSKOG PLANA AGENCIJE ZA UGLJIKOVODIKE </w:t>
      </w:r>
    </w:p>
    <w:p w14:paraId="6A6A86ED" w14:textId="77777777" w:rsidR="00640A38" w:rsidRDefault="000C6381">
      <w:r>
        <w:t xml:space="preserve">ZA RAZDOBLJE 2026.-2028.GODINE </w:t>
      </w:r>
    </w:p>
    <w:p w14:paraId="13C7281D" w14:textId="77777777" w:rsidR="00640A38" w:rsidRDefault="000C6381">
      <w:r>
        <w:t xml:space="preserve"> </w:t>
      </w:r>
    </w:p>
    <w:p w14:paraId="5A5A973B" w14:textId="77777777" w:rsidR="00640A38" w:rsidRDefault="000C6381">
      <w:r>
        <w:t xml:space="preserve">07745 AGENCIJA ZA UGLJIKOVODIKE   </w:t>
      </w:r>
    </w:p>
    <w:p w14:paraId="6068A333" w14:textId="77777777" w:rsidR="00640A38" w:rsidRDefault="000C6381">
      <w:r>
        <w:t xml:space="preserve">PRIHODI </w:t>
      </w:r>
    </w:p>
    <w:p w14:paraId="2949C388" w14:textId="77777777" w:rsidR="00640A38" w:rsidRDefault="000C6381">
      <w:r>
        <w:t xml:space="preserve">Agencija za ugljikovodike je planirala ukupne prihode u 2026. godini u iznosu od 123.236.140 eura, te projicirane prihode za 2027. godinu u iznosu od 125.487.200 eura i 122.863.899 eura za 2028. godinu.  </w:t>
      </w:r>
    </w:p>
    <w:p w14:paraId="0DDEF062" w14:textId="77777777" w:rsidR="00640A38" w:rsidRDefault="000C6381">
      <w:r>
        <w:t xml:space="preserve">Prihodi su planirani po izvorima: </w:t>
      </w:r>
    </w:p>
    <w:p w14:paraId="3CB88704" w14:textId="77777777" w:rsidR="00640A38" w:rsidRDefault="000C6381">
      <w:r>
        <w:t xml:space="preserve">1 Opći prihodi i primici  </w:t>
      </w:r>
    </w:p>
    <w:p w14:paraId="0E206CC3" w14:textId="77777777" w:rsidR="00640A38" w:rsidRDefault="000C6381">
      <w:r>
        <w:t xml:space="preserve">Iz izvora 11 Opći prihodi i primici planiraju se prihodi u iznosu od 66.814.816  eura u 2026. godini, 79.259.345   eura u 2027. i 76.660.944  eura u 2028. godini.  </w:t>
      </w:r>
    </w:p>
    <w:p w14:paraId="0CF9332F" w14:textId="77777777" w:rsidR="00640A38" w:rsidRDefault="000C6381">
      <w:r>
        <w:t>Planirani prihodi u 2026. godini su povećani u odnosu na plan 2025. godine uglavnom na Aktivnosti K919001-Projekti istraživanja i eksploatacije ugljikovodika što obuhvaća sve faze planiranja, pripreme i provedbe aktivnosti vezanih uz istraživanje, ocjenu potencijala te eksploataciju novih otkrića ugljikovodika, a kroz aktivnosti trajnog zbrinjavanja ugljikovog dioksida projekt doprinosi ostvarenju strateških ciljeva energetske tranzicije, smanjenju emisija stakleničkih plinova i razvoju infrastrukture za de</w:t>
      </w:r>
      <w:r>
        <w:t xml:space="preserve">karbonizaciju industrijskog sektora.  </w:t>
      </w:r>
    </w:p>
    <w:p w14:paraId="4F2D4A58" w14:textId="77777777" w:rsidR="00640A38" w:rsidRDefault="000C6381">
      <w:r>
        <w:t xml:space="preserve"> Cilj je osigurati održiv, ekonomski isplativ i ekološki odgovoran razvoj proizvodnje nafte i plina te povećati energetsku neovisnost kroz poticanje energetske učinkovitosti, toplinarstva i obnovljivih izvora energije za dekarbonizaciju energetskog sektora i konkurentnost nacionalnog energetskog sektora, dok se projektom kroz aktivnosti trajnog zbrinjavanja ugljikovog dioksida ostvaruje značajan doprinos smanjenju emisija stakleničkih plinova te ispunjavanju nacionalnih i europskih ciljeva klimatske neutral</w:t>
      </w:r>
      <w:r>
        <w:t xml:space="preserve">nosti. </w:t>
      </w:r>
    </w:p>
    <w:p w14:paraId="1789FB9F" w14:textId="77777777" w:rsidR="00640A38" w:rsidRDefault="000C6381">
      <w:r>
        <w:t xml:space="preserve">Iz izvora 12 Sredstva učešća za pomoći planiraju se prihodi u iznosu od 10.008 eura u 2026. godini, 7.620 eura u  2027. i 2.640 eura u 2028. godini koja su planirana za provedbu projekta GREEN HYDRA "Poboljšanje politika za uključivanje MSP-ova u ekosustav zelenog vodika" (02C0652), u okviru Programa Interreg Europe 2021.-2027 </w:t>
      </w:r>
    </w:p>
    <w:p w14:paraId="2386BA96" w14:textId="77777777" w:rsidR="00640A38" w:rsidRDefault="000C6381">
      <w:r>
        <w:t xml:space="preserve">4 Prihodi za posebne namjene </w:t>
      </w:r>
    </w:p>
    <w:p w14:paraId="02B0CC56" w14:textId="77777777" w:rsidR="00640A38" w:rsidRDefault="000C6381">
      <w:r>
        <w:t xml:space="preserve">Iz izvora 43 Ostali prihodi za posebne namjene planiraju se prihodi u iznosu od 20.000 eura u razdoblju 2026. te po 25.000 eura 2027- 2028. godinu, a odnose se uglavnom na uplate vezane uz Koordinaciju za sigurnost pri odobalnom istraživanju i eksploataciji ugljikovodika.   </w:t>
      </w:r>
    </w:p>
    <w:p w14:paraId="539BA96D" w14:textId="77777777" w:rsidR="00640A38" w:rsidRDefault="000C6381">
      <w:r>
        <w:t xml:space="preserve">5 Pomoći </w:t>
      </w:r>
    </w:p>
    <w:p w14:paraId="15BF9E8F" w14:textId="77777777" w:rsidR="00640A38" w:rsidRDefault="000C6381">
      <w:r>
        <w:t xml:space="preserve">Iz izvora 56311 Europski fond za regionalni razvoj (program Interreg Europe - Green Hydra), planiraju se za 2026. godinu prihodi u iznosu 40.032 eura, 30.480 eura za 2027. i 10.560 eura za 2028. godinu.  </w:t>
      </w:r>
    </w:p>
    <w:p w14:paraId="733283E7" w14:textId="77777777" w:rsidR="00640A38" w:rsidRDefault="000C6381">
      <w:r>
        <w:t xml:space="preserve">Iz izvora 581 Mehanizam za oporavak i otpornost planiraju se prihodi u iznosu od 10.147.529 eura za 2026. godinu što je u odnosu na 2025. godinu znatno manje obzirom da je predviđeni kraj svih aktivnosti u okviru spomenutoga projekta 2026. godine. </w:t>
      </w:r>
    </w:p>
    <w:p w14:paraId="73FB1858" w14:textId="77777777" w:rsidR="00640A38" w:rsidRDefault="000C6381">
      <w:r>
        <w:t xml:space="preserve">7 Prihodi od prodaje ili zamjene nefinancijske imovine i naknade s naslova osiguranja </w:t>
      </w:r>
    </w:p>
    <w:p w14:paraId="02E1E9AC" w14:textId="77777777" w:rsidR="00640A38" w:rsidRDefault="000C6381">
      <w:r>
        <w:t xml:space="preserve">Iz izvora 71 Prihodi od prodaje ili zamjene nefinancijske imovine i naknade s naslova osiguranja planiraju se prihodi u iznosu od 40.000.000 eura za 2026. godinu, dok se u 2027. godini planira prihod od 44.000.000 eura i u 2028. godini 44.578.898 eura , a odnose se na prihode od zanavljanja obveznih zaliha uzajamnom kupoprodajom u svrhu očuvanja kvalitete zaliha.  </w:t>
      </w:r>
    </w:p>
    <w:p w14:paraId="2FCE2F25" w14:textId="77777777" w:rsidR="00640A38" w:rsidRDefault="000C6381">
      <w:r>
        <w:t xml:space="preserve"> </w:t>
      </w:r>
    </w:p>
    <w:p w14:paraId="13F3791C" w14:textId="77777777" w:rsidR="00640A38" w:rsidRDefault="000C6381">
      <w:r>
        <w:t xml:space="preserve">RASHODI  </w:t>
      </w:r>
    </w:p>
    <w:p w14:paraId="7E79E968" w14:textId="77777777" w:rsidR="00640A38" w:rsidRDefault="000C6381">
      <w:r>
        <w:lastRenderedPageBreak/>
        <w:t xml:space="preserve">Agencija planira rashode u 2026. godini u iznosu od 131.363.643 eura, što je nešto manje u odnosu na plan rashoda za 2025. godinu. Projicirani rashodi za 2027. godinu iznose 125.487.200 eura, odnosno 122.863.899 eura za 2028. godinu.   </w:t>
      </w:r>
    </w:p>
    <w:p w14:paraId="25FC2A80" w14:textId="77777777" w:rsidR="00640A38" w:rsidRDefault="000C6381">
      <w:r>
        <w:t xml:space="preserve">3-RASHODI POSLOVANJA </w:t>
      </w:r>
    </w:p>
    <w:p w14:paraId="55F743BF" w14:textId="77777777" w:rsidR="00640A38" w:rsidRDefault="000C6381">
      <w:r>
        <w:t xml:space="preserve">Rashodi poslovanja u 2026. godini su planirani u neznatno manjem iznosu u odnosu na 2025. godinu, odnosno nema većih odstupanja u planu 2026. godine u odnosu na prethodnu 2025. na rashodima za zaposlene kao ni na materijalnim rashodima. </w:t>
      </w:r>
    </w:p>
    <w:p w14:paraId="09EEC8A9" w14:textId="77777777" w:rsidR="00640A38" w:rsidRDefault="000C6381">
      <w:r>
        <w:t xml:space="preserve">4-RASHODI ZA NABAVU NEFINANCIJSKE IMOVINE </w:t>
      </w:r>
    </w:p>
    <w:p w14:paraId="2894BFCE" w14:textId="77777777" w:rsidR="00640A38" w:rsidRDefault="000C6381">
      <w:r>
        <w:t xml:space="preserve">Planirani rashodi za nabavu nefinancijske imovine u 2026. godini ne odstupaju značajno u odnosu na 2025. godinu kad su planirani rashodi bili nešto veći. </w:t>
      </w:r>
    </w:p>
    <w:p w14:paraId="6D8F1574" w14:textId="77777777" w:rsidR="00640A38" w:rsidRDefault="000C6381">
      <w:r>
        <w:t xml:space="preserve">Razlika je na izvorima planiranja rashoda jer je glavnina navedenih rashoda u 2025. godini planirana na izvoru 581-NPOO, dok je u 2026 godini planiran znatno mani iznos zbog završetka navedenog projekta u 2026. godini, ali je na izvoru 11 značajno povećan plan rashoda za nabavu nefinancijske imovine zbog pripreme i provedbe aktivnosti vezanih uz istraživanje, ocjenu potencijala te eksploataciju novih otkrića ugljikovodika i geotermalnog potencijala, s ciljem poticanja energetske učinkovitosti, toplinarstva </w:t>
      </w:r>
      <w:r>
        <w:t xml:space="preserve">i obnovljivih izvora energije za dekarbonizaciju energetskog sektora i konkurentnost nacionalnog energetskog sektora, dok se projektom kroz aktivnosti trajnog zbrinjavanja ugljikovog dioksida ostvaruje značajan doprinos smanjenju emisija stakleničkih plinova te ispunjavanju nacionalnih i europskih ciljeva klimatske neutralnosti. </w:t>
      </w:r>
    </w:p>
    <w:p w14:paraId="2536F841" w14:textId="77777777" w:rsidR="00640A38" w:rsidRDefault="000C6381">
      <w:r>
        <w:t xml:space="preserve">PRIJENOS SREDSTAVA IZ PRETHODNE I U SLJEDEĆU GODINU   </w:t>
      </w:r>
    </w:p>
    <w:p w14:paraId="48DEABDB" w14:textId="77777777" w:rsidR="00640A38" w:rsidRDefault="000C6381">
      <w:r>
        <w:t xml:space="preserve">Za prijenos u 2026. godinu je planiran iznos od  2.632.583 eura, od čega se planira donos na izvoru 71 u iznosu 187.475 eura a ostvareni su iz zanavljanja obveznih zaliha uzajamnom kupoprodajom. U zadnjem kvartalu 2025. godine se provodi zanavljanje jednog dijela obveznih zaliha, pri čemu se kod izlaza zaliha (prodaje) ostvaruju prihodi (plaćena roba), a povrat robe je ugovoren u siječnju i veljači 2026. te će se rashodi za podmirenje obveze po povratu robe podmiriti iz prenesenih sredstava što može znatno </w:t>
      </w:r>
      <w:r>
        <w:t xml:space="preserve">promijeniti iznos donosa na izvoru 71.   </w:t>
      </w:r>
    </w:p>
    <w:p w14:paraId="2173CD06" w14:textId="77777777" w:rsidR="00640A38" w:rsidRDefault="000C6381">
      <w:r>
        <w:t xml:space="preserve">Na izvoru 43 planirani iznos donosa u 2026. godinu je 2.445.108 eura, a čine ga  uplaćena sredstva vezana uz Koordinaciju za sigurnost pri odobalnom istraživanju i eksploataciji ugljikovodika te manji dio prihoda poslovanja ostvarenih u prethodnim razdobljima, a namijenjeni su podmirivanju rashoda Koordinacije i iznosa nepriznatog troška (PDV) za projekte koji se financiraju iz EU. </w:t>
      </w:r>
    </w:p>
    <w:p w14:paraId="728D1833" w14:textId="77777777" w:rsidR="00640A38" w:rsidRDefault="000C6381">
      <w:r>
        <w:t xml:space="preserve"> </w:t>
      </w:r>
    </w:p>
    <w:p w14:paraId="29E63F22" w14:textId="77777777" w:rsidR="00640A38" w:rsidRDefault="000C6381">
      <w:r>
        <w:t xml:space="preserve">UKUPNE I DOSPJELE OBVEZE </w:t>
      </w:r>
    </w:p>
    <w:p w14:paraId="0110D6B1" w14:textId="77777777" w:rsidR="00640A38" w:rsidRDefault="000C6381">
      <w:r>
        <w:t xml:space="preserve">Agencija u navedenim razdobljima nije imala dospjelih a nepodmirenih obveza </w:t>
      </w:r>
    </w:p>
    <w:p w14:paraId="7E0907E2" w14:textId="77777777" w:rsidR="00640A38" w:rsidRDefault="000C6381">
      <w:r>
        <w:t xml:space="preserve"> </w:t>
      </w:r>
    </w:p>
    <w:p w14:paraId="3B806329" w14:textId="77777777" w:rsidR="00640A38" w:rsidRDefault="000C6381">
      <w:r>
        <w:tab/>
        <w:t>Stanje obveza na dan 31.12.2024.</w:t>
      </w:r>
      <w:r>
        <w:tab/>
        <w:t xml:space="preserve">Stanje obveza na dan 30.06.2025. </w:t>
      </w:r>
    </w:p>
    <w:p w14:paraId="4768FD3A" w14:textId="77777777" w:rsidR="00640A38" w:rsidRDefault="000C6381">
      <w:r>
        <w:t>Ukupne obveze</w:t>
      </w:r>
      <w:r>
        <w:tab/>
        <w:t>47.941.253,22</w:t>
      </w:r>
      <w:r>
        <w:tab/>
        <w:t xml:space="preserve">                      45.748.805,69 </w:t>
      </w:r>
    </w:p>
    <w:p w14:paraId="21C7720A" w14:textId="77777777" w:rsidR="00640A38" w:rsidRDefault="000C6381">
      <w:r>
        <w:t xml:space="preserve">Dospjele obveze </w:t>
      </w:r>
      <w:r>
        <w:tab/>
        <w:t>0</w:t>
      </w:r>
      <w:r>
        <w:tab/>
        <w:t xml:space="preserve">                                        0</w:t>
      </w:r>
    </w:p>
    <w:sectPr w:rsidR="00640A38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A5E1" w14:textId="77777777" w:rsidR="007A7E45" w:rsidRDefault="007A7E45" w:rsidP="00F352E6">
      <w:r>
        <w:separator/>
      </w:r>
    </w:p>
  </w:endnote>
  <w:endnote w:type="continuationSeparator" w:id="0">
    <w:p w14:paraId="1ED4312A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E270" w14:textId="77777777" w:rsidR="000C6381" w:rsidRPr="00D769ED" w:rsidRDefault="000C6381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3C8C" w14:textId="77777777" w:rsidR="007A7E45" w:rsidRDefault="007A7E45" w:rsidP="00F352E6">
      <w:r>
        <w:separator/>
      </w:r>
    </w:p>
  </w:footnote>
  <w:footnote w:type="continuationSeparator" w:id="0">
    <w:p w14:paraId="17B7A6B3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3536" w14:textId="77777777" w:rsidR="000C6381" w:rsidRDefault="000C6381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0C6381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40A38"/>
    <w:rsid w:val="00674346"/>
    <w:rsid w:val="006B3283"/>
    <w:rsid w:val="007665AA"/>
    <w:rsid w:val="007762EF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982EF4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Ana Beljan</cp:lastModifiedBy>
  <cp:revision>2</cp:revision>
  <dcterms:created xsi:type="dcterms:W3CDTF">2025-11-10T08:50:00Z</dcterms:created>
  <dcterms:modified xsi:type="dcterms:W3CDTF">2025-11-10T08:50:00Z</dcterms:modified>
</cp:coreProperties>
</file>