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AE8A" w14:textId="77777777" w:rsidR="00E923C4" w:rsidRDefault="00E923C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4"/>
      </w:tblGrid>
      <w:tr w:rsidR="0081487D" w14:paraId="09517877" w14:textId="77777777" w:rsidTr="0081487D">
        <w:tc>
          <w:tcPr>
            <w:tcW w:w="14034" w:type="dxa"/>
            <w:tcBorders>
              <w:right w:val="single" w:sz="4" w:space="0" w:color="000000" w:themeColor="text1"/>
            </w:tcBorders>
          </w:tcPr>
          <w:p w14:paraId="0041220B" w14:textId="50915E13" w:rsidR="0081487D" w:rsidRPr="00E923C4" w:rsidRDefault="0081487D" w:rsidP="00E923C4">
            <w:pPr>
              <w:rPr>
                <w:color w:val="000000" w:themeColor="text1"/>
              </w:rPr>
            </w:pPr>
            <w:r w:rsidRPr="00F72CE5">
              <w:rPr>
                <w:b/>
                <w:bCs/>
                <w:color w:val="002060"/>
                <w:u w:val="single"/>
              </w:rPr>
              <w:t>Pitanja ponuditelja i odgovori</w:t>
            </w:r>
            <w:r w:rsidRPr="00F72CE5">
              <w:rPr>
                <w:color w:val="002060"/>
              </w:rPr>
              <w:t xml:space="preserve"> </w:t>
            </w:r>
            <w:r w:rsidRPr="00E923C4">
              <w:rPr>
                <w:color w:val="000000" w:themeColor="text1"/>
              </w:rPr>
              <w:t>Agencije za ugljikovodike tijekom provođenja postupka nadmetanja radi odabira najpovoljnijeg ponuditelja za istraživanje geotermalnih voda u istražnim prostorima:</w:t>
            </w:r>
          </w:p>
          <w:p w14:paraId="2A4A5607" w14:textId="3614A07D" w:rsidR="0081487D" w:rsidRDefault="0081487D" w:rsidP="00E923C4">
            <w:pPr>
              <w:pStyle w:val="ListParagraph"/>
              <w:numPr>
                <w:ilvl w:val="0"/>
                <w:numId w:val="3"/>
              </w:numPr>
              <w:rPr>
                <w:color w:val="000000" w:themeColor="text1"/>
              </w:rPr>
            </w:pPr>
            <w:r>
              <w:rPr>
                <w:color w:val="000000" w:themeColor="text1"/>
              </w:rPr>
              <w:t>Bjelovar</w:t>
            </w:r>
          </w:p>
          <w:p w14:paraId="334A6917" w14:textId="4BF9D64A" w:rsidR="0081487D" w:rsidRDefault="0081487D" w:rsidP="00E923C4">
            <w:pPr>
              <w:pStyle w:val="ListParagraph"/>
              <w:numPr>
                <w:ilvl w:val="0"/>
                <w:numId w:val="3"/>
              </w:numPr>
              <w:rPr>
                <w:color w:val="000000" w:themeColor="text1"/>
              </w:rPr>
            </w:pPr>
            <w:r>
              <w:rPr>
                <w:color w:val="000000" w:themeColor="text1"/>
              </w:rPr>
              <w:t>Ludbreg</w:t>
            </w:r>
          </w:p>
          <w:p w14:paraId="43686EFA" w14:textId="0505E6D0" w:rsidR="0081487D" w:rsidRDefault="0081487D" w:rsidP="00E923C4">
            <w:pPr>
              <w:pStyle w:val="ListParagraph"/>
              <w:numPr>
                <w:ilvl w:val="0"/>
                <w:numId w:val="3"/>
              </w:numPr>
              <w:rPr>
                <w:color w:val="000000" w:themeColor="text1"/>
              </w:rPr>
            </w:pPr>
            <w:r>
              <w:rPr>
                <w:color w:val="000000" w:themeColor="text1"/>
              </w:rPr>
              <w:t>Brdovec</w:t>
            </w:r>
          </w:p>
          <w:p w14:paraId="639369C9" w14:textId="1C31C103" w:rsidR="0081487D" w:rsidRDefault="0081487D" w:rsidP="00E923C4">
            <w:pPr>
              <w:pStyle w:val="ListParagraph"/>
              <w:numPr>
                <w:ilvl w:val="0"/>
                <w:numId w:val="3"/>
              </w:numPr>
              <w:rPr>
                <w:color w:val="000000" w:themeColor="text1"/>
              </w:rPr>
            </w:pPr>
            <w:r>
              <w:rPr>
                <w:color w:val="000000" w:themeColor="text1"/>
              </w:rPr>
              <w:t>Slavonski Brod</w:t>
            </w:r>
          </w:p>
          <w:p w14:paraId="592D37A7" w14:textId="2042DA3B" w:rsidR="0081487D" w:rsidRPr="00E923C4" w:rsidRDefault="0081487D" w:rsidP="00E923C4">
            <w:pPr>
              <w:rPr>
                <w:color w:val="000000" w:themeColor="text1"/>
              </w:rPr>
            </w:pPr>
            <w:r>
              <w:rPr>
                <w:color w:val="000000" w:themeColor="text1"/>
              </w:rPr>
              <w:t>r</w:t>
            </w:r>
            <w:r w:rsidRPr="00E923C4">
              <w:rPr>
                <w:color w:val="000000" w:themeColor="text1"/>
              </w:rPr>
              <w:t>adi izdavanja dozvole za pridobivanje geotermalnih voda u energetske svrhe.</w:t>
            </w:r>
          </w:p>
        </w:tc>
      </w:tr>
    </w:tbl>
    <w:p w14:paraId="0C2A22E3" w14:textId="77777777" w:rsidR="00E923C4" w:rsidRDefault="00E923C4" w:rsidP="00E923C4">
      <w:pPr>
        <w:rPr>
          <w:b/>
          <w:bCs/>
          <w:color w:val="4472C4" w:themeColor="accent1"/>
          <w:u w:val="single"/>
        </w:rPr>
      </w:pPr>
    </w:p>
    <w:tbl>
      <w:tblPr>
        <w:tblStyle w:val="TableGrid"/>
        <w:tblW w:w="0" w:type="auto"/>
        <w:jc w:val="center"/>
        <w:tblLook w:val="04A0" w:firstRow="1" w:lastRow="0" w:firstColumn="1" w:lastColumn="0" w:noHBand="0" w:noVBand="1"/>
      </w:tblPr>
      <w:tblGrid>
        <w:gridCol w:w="440"/>
        <w:gridCol w:w="5509"/>
        <w:gridCol w:w="8045"/>
      </w:tblGrid>
      <w:tr w:rsidR="00DC0697" w:rsidRPr="00DC0697" w14:paraId="68EF7894" w14:textId="77777777" w:rsidTr="0081487D">
        <w:trPr>
          <w:trHeight w:val="677"/>
          <w:jc w:val="center"/>
        </w:trPr>
        <w:tc>
          <w:tcPr>
            <w:tcW w:w="440" w:type="dxa"/>
          </w:tcPr>
          <w:p w14:paraId="7812692C" w14:textId="77777777" w:rsidR="00BF5C78" w:rsidRPr="00DC0697" w:rsidRDefault="00BF5C78" w:rsidP="00DC0697">
            <w:pPr>
              <w:rPr>
                <w:b/>
                <w:bCs/>
              </w:rPr>
            </w:pPr>
          </w:p>
        </w:tc>
        <w:tc>
          <w:tcPr>
            <w:tcW w:w="5509" w:type="dxa"/>
            <w:vAlign w:val="center"/>
          </w:tcPr>
          <w:p w14:paraId="7559A7FB" w14:textId="79F6B9C8" w:rsidR="00BF5C78" w:rsidRPr="00711D92" w:rsidRDefault="00BF5C78" w:rsidP="00DC0697">
            <w:pPr>
              <w:jc w:val="center"/>
              <w:rPr>
                <w:b/>
                <w:bCs/>
                <w:color w:val="1F3864" w:themeColor="accent1" w:themeShade="80"/>
                <w:sz w:val="26"/>
                <w:szCs w:val="26"/>
              </w:rPr>
            </w:pPr>
            <w:r w:rsidRPr="00711D92">
              <w:rPr>
                <w:b/>
                <w:bCs/>
                <w:color w:val="1F3864" w:themeColor="accent1" w:themeShade="80"/>
                <w:sz w:val="26"/>
                <w:szCs w:val="26"/>
              </w:rPr>
              <w:t>PITANJE</w:t>
            </w:r>
          </w:p>
        </w:tc>
        <w:tc>
          <w:tcPr>
            <w:tcW w:w="8045" w:type="dxa"/>
            <w:vAlign w:val="center"/>
          </w:tcPr>
          <w:p w14:paraId="0B8E30B6" w14:textId="094238E0" w:rsidR="00BF5C78" w:rsidRPr="00711D92" w:rsidRDefault="00BF5C78" w:rsidP="00DC0697">
            <w:pPr>
              <w:jc w:val="center"/>
              <w:rPr>
                <w:b/>
                <w:bCs/>
                <w:color w:val="1F3864" w:themeColor="accent1" w:themeShade="80"/>
                <w:sz w:val="26"/>
                <w:szCs w:val="26"/>
              </w:rPr>
            </w:pPr>
            <w:r w:rsidRPr="00711D92">
              <w:rPr>
                <w:b/>
                <w:bCs/>
                <w:color w:val="1F3864" w:themeColor="accent1" w:themeShade="80"/>
                <w:sz w:val="26"/>
                <w:szCs w:val="26"/>
              </w:rPr>
              <w:t>ODGOVOR</w:t>
            </w:r>
          </w:p>
        </w:tc>
      </w:tr>
      <w:tr w:rsidR="00DC0697" w:rsidRPr="00DC0697" w14:paraId="27F79079" w14:textId="77777777" w:rsidTr="0081487D">
        <w:trPr>
          <w:jc w:val="center"/>
        </w:trPr>
        <w:tc>
          <w:tcPr>
            <w:tcW w:w="440" w:type="dxa"/>
            <w:shd w:val="clear" w:color="auto" w:fill="F2F2F2" w:themeFill="background1" w:themeFillShade="F2"/>
            <w:vAlign w:val="center"/>
          </w:tcPr>
          <w:p w14:paraId="69ACB940" w14:textId="6E79739E" w:rsidR="00802A81" w:rsidRPr="00DC0697" w:rsidRDefault="00802A81" w:rsidP="00711D92">
            <w:pPr>
              <w:jc w:val="center"/>
              <w:rPr>
                <w:b/>
                <w:bCs/>
              </w:rPr>
            </w:pPr>
            <w:r w:rsidRPr="00DC0697">
              <w:rPr>
                <w:b/>
                <w:bCs/>
              </w:rPr>
              <w:t>1</w:t>
            </w:r>
          </w:p>
        </w:tc>
        <w:tc>
          <w:tcPr>
            <w:tcW w:w="5509" w:type="dxa"/>
            <w:shd w:val="clear" w:color="auto" w:fill="F2F2F2" w:themeFill="background1" w:themeFillShade="F2"/>
          </w:tcPr>
          <w:p w14:paraId="58FB52F2" w14:textId="254A44A0" w:rsidR="0081487D" w:rsidRDefault="0081487D" w:rsidP="0081487D">
            <w:pPr>
              <w:rPr>
                <w:i/>
                <w:iCs/>
              </w:rPr>
            </w:pPr>
            <w:r w:rsidRPr="0081487D">
              <w:rPr>
                <w:i/>
                <w:iCs/>
              </w:rPr>
              <w:t xml:space="preserve">Vezano za DON u postupku nadmetanja radi odabira najpovoljnijeg ponuditelja za istraživanje geotermalnih voda u istražnom prostoru </w:t>
            </w:r>
            <w:r>
              <w:rPr>
                <w:i/>
                <w:iCs/>
              </w:rPr>
              <w:t>„XXXX“</w:t>
            </w:r>
            <w:r w:rsidRPr="0081487D">
              <w:rPr>
                <w:i/>
                <w:iCs/>
              </w:rPr>
              <w:t xml:space="preserve"> radi izdavanja dozvole za pridobivanje geotermalnih voda u energetske svrhe molimo Vas pomoć</w:t>
            </w:r>
            <w:r w:rsidR="001F4C95">
              <w:rPr>
                <w:i/>
                <w:iCs/>
              </w:rPr>
              <w:t xml:space="preserve">, </w:t>
            </w:r>
            <w:r w:rsidRPr="0081487D">
              <w:rPr>
                <w:i/>
                <w:iCs/>
              </w:rPr>
              <w:t>odnosno pojašnjenja na sljedeće:</w:t>
            </w:r>
          </w:p>
          <w:p w14:paraId="7D1A975E" w14:textId="77777777" w:rsidR="001F4C95" w:rsidRDefault="001F4C95" w:rsidP="0081487D">
            <w:pPr>
              <w:rPr>
                <w:i/>
                <w:iCs/>
              </w:rPr>
            </w:pPr>
          </w:p>
          <w:p w14:paraId="526FE335" w14:textId="7C9862FE" w:rsidR="0081487D" w:rsidRDefault="0081487D" w:rsidP="0081487D">
            <w:pPr>
              <w:rPr>
                <w:i/>
                <w:iCs/>
              </w:rPr>
            </w:pPr>
            <w:r w:rsidRPr="0081487D">
              <w:rPr>
                <w:i/>
                <w:iCs/>
              </w:rPr>
              <w:t>Točka 5.2. Uvjeti financijske sposobnosti – Da li se ponuditelj može osloniti na financijsku sposobnost Grada kao JLS?</w:t>
            </w:r>
          </w:p>
          <w:p w14:paraId="224BB36E" w14:textId="296C434B" w:rsidR="00802A81" w:rsidRPr="00323A06" w:rsidRDefault="0081487D" w:rsidP="0081487D">
            <w:pPr>
              <w:rPr>
                <w:i/>
                <w:iCs/>
              </w:rPr>
            </w:pPr>
            <w:r w:rsidRPr="0081487D">
              <w:rPr>
                <w:i/>
                <w:iCs/>
              </w:rPr>
              <w:t xml:space="preserve">Naime, tvrtka </w:t>
            </w:r>
            <w:r>
              <w:rPr>
                <w:i/>
                <w:iCs/>
              </w:rPr>
              <w:t>„XX“</w:t>
            </w:r>
            <w:r w:rsidRPr="0081487D">
              <w:rPr>
                <w:i/>
                <w:iCs/>
              </w:rPr>
              <w:t xml:space="preserve"> u 100%-tnom vlasništvu je Grada </w:t>
            </w:r>
            <w:r>
              <w:rPr>
                <w:i/>
                <w:iCs/>
              </w:rPr>
              <w:t>„XY“</w:t>
            </w:r>
            <w:r w:rsidRPr="0081487D">
              <w:rPr>
                <w:i/>
                <w:iCs/>
              </w:rPr>
              <w:t xml:space="preserve"> te je osnovana u prosincu 2022.godine.</w:t>
            </w:r>
          </w:p>
        </w:tc>
        <w:tc>
          <w:tcPr>
            <w:tcW w:w="8045" w:type="dxa"/>
            <w:shd w:val="clear" w:color="auto" w:fill="F2F2F2" w:themeFill="background1" w:themeFillShade="F2"/>
          </w:tcPr>
          <w:p w14:paraId="4D2F3B02" w14:textId="43340DF8" w:rsidR="00711D92" w:rsidRPr="00DC0697" w:rsidRDefault="0081487D" w:rsidP="0081487D">
            <w:pPr>
              <w:jc w:val="both"/>
            </w:pPr>
            <w:r w:rsidRPr="0081487D">
              <w:t xml:space="preserve">Ponuditelj se u ponudi može osloniti na financijsku, tehničku i stručnu sposobnost vladajućeg društva ili neke druge pravne ili fizičke osobe. U tom slučaju potrebno je dostaviti ugovor ili suglasnost gdje je izričito navedeno da je druga pravna osoba (u ovom slučaju grad), upoznato s namjerom ponuditelja da podnese ponudu u ovom postupku nadmetanja te da daje svoju izričitu suglasnost da se ponuditelj može osloniti u ovom postupku nadmetanja na određenu sposobnost te druge pravne osobe. Također, potrebno je dostaviti dokaz da grad, ima određenu sposobnost na koju se ponuditelj oslanja. Primjera radi, ako se ponuditelj oslanja na financijsku sposobnost neke pravne osobe potrebno je dostaviti suglasnost te pravne osobe (npr. grada) da se ponuditelj u ovom postupku nadmetanja može osloniti na njegovu financijsku sposobnost te dostaviti BON-1 i BON-2 ili revidirano godišnje financijsko izvješće za prethodne tri poslovne godine ili neki drugi prikladan dokaz.   </w:t>
            </w:r>
          </w:p>
        </w:tc>
      </w:tr>
      <w:tr w:rsidR="0081487D" w:rsidRPr="00DC0697" w14:paraId="3AA6AE0F" w14:textId="77777777" w:rsidTr="007A6E8B">
        <w:trPr>
          <w:jc w:val="center"/>
        </w:trPr>
        <w:tc>
          <w:tcPr>
            <w:tcW w:w="440" w:type="dxa"/>
            <w:shd w:val="clear" w:color="auto" w:fill="auto"/>
          </w:tcPr>
          <w:p w14:paraId="06B5A784" w14:textId="58B6E542" w:rsidR="0081487D" w:rsidRPr="00DC0697" w:rsidRDefault="0081487D" w:rsidP="00DC0697">
            <w:pPr>
              <w:rPr>
                <w:b/>
                <w:bCs/>
              </w:rPr>
            </w:pPr>
            <w:r>
              <w:rPr>
                <w:b/>
                <w:bCs/>
              </w:rPr>
              <w:t>2</w:t>
            </w:r>
          </w:p>
        </w:tc>
        <w:tc>
          <w:tcPr>
            <w:tcW w:w="5509" w:type="dxa"/>
            <w:shd w:val="clear" w:color="auto" w:fill="auto"/>
          </w:tcPr>
          <w:p w14:paraId="01E82CBA" w14:textId="380927DE" w:rsidR="0081487D" w:rsidRPr="0081487D" w:rsidRDefault="0081487D" w:rsidP="00DC0697">
            <w:pPr>
              <w:rPr>
                <w:i/>
                <w:iCs/>
              </w:rPr>
            </w:pPr>
            <w:r w:rsidRPr="0081487D">
              <w:rPr>
                <w:i/>
                <w:iCs/>
              </w:rPr>
              <w:t xml:space="preserve">Točka 8. Jamstva – S obzirom na navedeno u prethodnoj točki da li je moguće da Grad </w:t>
            </w:r>
            <w:r>
              <w:rPr>
                <w:i/>
                <w:iCs/>
              </w:rPr>
              <w:t>„XX“</w:t>
            </w:r>
            <w:r w:rsidRPr="0081487D">
              <w:rPr>
                <w:i/>
                <w:iCs/>
              </w:rPr>
              <w:t xml:space="preserve"> da bankovnu garanciju ili bude nekakav vid jamstva, ukoliko je isto moguće da li je potreban drugačiji tekst bankovne garancije te ukoliko je da li bi mogli isti poslati kako bi mogli isti prenijeti banci koja će izdavati istu.</w:t>
            </w:r>
          </w:p>
        </w:tc>
        <w:tc>
          <w:tcPr>
            <w:tcW w:w="8045" w:type="dxa"/>
            <w:shd w:val="clear" w:color="auto" w:fill="auto"/>
          </w:tcPr>
          <w:p w14:paraId="42079605" w14:textId="77777777" w:rsidR="0081487D" w:rsidRDefault="0081487D" w:rsidP="0081487D">
            <w:r>
              <w:t xml:space="preserve">Grad može biti Nalogodavac kod izdavanja bankarske garancije te u tom slučaju u preambuli garancije treba navesti grad kao nalogodavca a u točki 1. nacrta garancije potrebno je izmijeniti tekst na način da glasi: </w:t>
            </w:r>
          </w:p>
          <w:p w14:paraId="4C631D87" w14:textId="77777777" w:rsidR="0081487D" w:rsidRDefault="0081487D" w:rsidP="0081487D"/>
          <w:p w14:paraId="27E47579" w14:textId="23F4D0F3" w:rsidR="0081487D" w:rsidRDefault="0081487D" w:rsidP="0081487D">
            <w:r>
              <w:t xml:space="preserve">„Banka je upoznata da Nalogodavac u suradnji s društvom „XX“ podnosi ponudu u postupku nadmetanja radi odabira najpovoljnijeg ponuditelja za istraživanje geotermalnih voda u istražnom prostoru „XXXX“ radi izdavanja dozvole za pridobivanje geotermalnih voda u energetske svrhe, prema Dokumentaciji za nadmetanje, KLASA: </w:t>
            </w:r>
            <w:r>
              <w:lastRenderedPageBreak/>
              <w:t>XXXX, URBROJ: XXX, od datum. veljače 2024. godine objavljene od strane Agencije za ugljikovodike. „</w:t>
            </w:r>
          </w:p>
          <w:p w14:paraId="41B05C42" w14:textId="77777777" w:rsidR="0081487D" w:rsidRDefault="0081487D" w:rsidP="0081487D"/>
          <w:p w14:paraId="430890C5" w14:textId="002DDCF9" w:rsidR="0081487D" w:rsidRPr="00DC0697" w:rsidRDefault="0081487D" w:rsidP="0081487D">
            <w:r>
              <w:t xml:space="preserve">Točka 2. nacrta garancije tada glasi: „Ovom Garancijom Banka se obvezuje Korisniku garancije da će neopozivo, bezuvjetno i na prvi poziv isplatiti iznos od 10.000,00 EUR (slovima: </w:t>
            </w:r>
            <w:proofErr w:type="spellStart"/>
            <w:r>
              <w:t>desettisuća</w:t>
            </w:r>
            <w:proofErr w:type="spellEnd"/>
            <w:r>
              <w:t xml:space="preserve"> eura) ako Nalogodavac odnosno društvo „XX“</w:t>
            </w:r>
            <w:r w:rsidR="001F4C95">
              <w:t xml:space="preserve"> </w:t>
            </w:r>
            <w:r>
              <w:t>odustane od obvezujuće ponude u roku njezine valjanosti, ako u ponudi iznese neistiniti iskaz ili dokaz, ako u traženom roku ne dostavi dopunu ili pojašnjenje ponude te ako u propisanom roku iz izdane dozvole ne dostavi garanciju za uredno izvršenje obveza istražnog razdoblja ili garanciju za sanaciju istražnog prostora.“</w:t>
            </w:r>
          </w:p>
        </w:tc>
      </w:tr>
    </w:tbl>
    <w:p w14:paraId="08CB99A2" w14:textId="77777777" w:rsidR="00EB0497" w:rsidRDefault="00EB0497"/>
    <w:sectPr w:rsidR="00EB0497" w:rsidSect="004C5F6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77D5" w14:textId="77777777" w:rsidR="004C5F69" w:rsidRDefault="004C5F69" w:rsidP="00802A81">
      <w:pPr>
        <w:spacing w:after="0" w:line="240" w:lineRule="auto"/>
      </w:pPr>
      <w:r>
        <w:separator/>
      </w:r>
    </w:p>
  </w:endnote>
  <w:endnote w:type="continuationSeparator" w:id="0">
    <w:p w14:paraId="31D4710C" w14:textId="77777777" w:rsidR="004C5F69" w:rsidRDefault="004C5F69" w:rsidP="008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79B4" w14:textId="77777777" w:rsidR="004C5F69" w:rsidRDefault="004C5F69" w:rsidP="00802A81">
      <w:pPr>
        <w:spacing w:after="0" w:line="240" w:lineRule="auto"/>
      </w:pPr>
      <w:r>
        <w:separator/>
      </w:r>
    </w:p>
  </w:footnote>
  <w:footnote w:type="continuationSeparator" w:id="0">
    <w:p w14:paraId="693C12DB" w14:textId="77777777" w:rsidR="004C5F69" w:rsidRDefault="004C5F69" w:rsidP="0080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6A6"/>
    <w:multiLevelType w:val="hybridMultilevel"/>
    <w:tmpl w:val="AFBE8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DF3AA9"/>
    <w:multiLevelType w:val="hybridMultilevel"/>
    <w:tmpl w:val="66A2DCBE"/>
    <w:lvl w:ilvl="0" w:tplc="FFFFFFFF">
      <w:start w:val="1"/>
      <w:numFmt w:val="bullet"/>
      <w:lvlText w:val="•"/>
      <w:lvlJc w:val="left"/>
      <w:pPr>
        <w:ind w:left="720" w:hanging="360"/>
      </w:pPr>
      <w:rPr>
        <w:rFonts w:ascii="Calibri" w:eastAsiaTheme="minorHAnsi" w:hAnsi="Calibri" w:cs="Calibri" w:hint="default"/>
      </w:rPr>
    </w:lvl>
    <w:lvl w:ilvl="1" w:tplc="0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15301"/>
    <w:multiLevelType w:val="hybridMultilevel"/>
    <w:tmpl w:val="24820A8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12BF5676"/>
    <w:multiLevelType w:val="hybridMultilevel"/>
    <w:tmpl w:val="FEB058A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630230"/>
    <w:multiLevelType w:val="hybridMultilevel"/>
    <w:tmpl w:val="F26EE5A8"/>
    <w:lvl w:ilvl="0" w:tplc="760C2478">
      <w:numFmt w:val="bullet"/>
      <w:lvlText w:val="•"/>
      <w:lvlJc w:val="left"/>
      <w:pPr>
        <w:ind w:left="1065" w:hanging="705"/>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3407CC"/>
    <w:multiLevelType w:val="hybridMultilevel"/>
    <w:tmpl w:val="94CCD572"/>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3423BF"/>
    <w:multiLevelType w:val="hybridMultilevel"/>
    <w:tmpl w:val="F970C2B6"/>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9A1239"/>
    <w:multiLevelType w:val="hybridMultilevel"/>
    <w:tmpl w:val="8BEE99B2"/>
    <w:lvl w:ilvl="0" w:tplc="C8CE3278">
      <w:start w:val="1"/>
      <w:numFmt w:val="bullet"/>
      <w:lvlText w:val="•"/>
      <w:lvlJc w:val="left"/>
      <w:pPr>
        <w:ind w:left="1068" w:hanging="360"/>
      </w:pPr>
      <w:rPr>
        <w:rFonts w:ascii="Calibri" w:eastAsiaTheme="minorHAnsi" w:hAnsi="Calibri" w:cs="Calibri" w:hint="default"/>
      </w:rPr>
    </w:lvl>
    <w:lvl w:ilvl="1" w:tplc="F16A184E">
      <w:numFmt w:val="bullet"/>
      <w:lvlText w:val="-"/>
      <w:lvlJc w:val="left"/>
      <w:pPr>
        <w:ind w:left="1788" w:hanging="360"/>
      </w:pPr>
      <w:rPr>
        <w:rFonts w:ascii="Calibri" w:eastAsiaTheme="minorHAnsi" w:hAnsi="Calibri" w:cs="Calibri"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359E3347"/>
    <w:multiLevelType w:val="hybridMultilevel"/>
    <w:tmpl w:val="B0C294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541594"/>
    <w:multiLevelType w:val="hybridMultilevel"/>
    <w:tmpl w:val="FC20E1FA"/>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A9242AB"/>
    <w:multiLevelType w:val="hybridMultilevel"/>
    <w:tmpl w:val="BDD40A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31D53"/>
    <w:multiLevelType w:val="hybridMultilevel"/>
    <w:tmpl w:val="70BC4E58"/>
    <w:lvl w:ilvl="0" w:tplc="760C2478">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2076A1"/>
    <w:multiLevelType w:val="hybridMultilevel"/>
    <w:tmpl w:val="A22635F8"/>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B37E94"/>
    <w:multiLevelType w:val="hybridMultilevel"/>
    <w:tmpl w:val="9F445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877F93"/>
    <w:multiLevelType w:val="hybridMultilevel"/>
    <w:tmpl w:val="FE14E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52F1188"/>
    <w:multiLevelType w:val="hybridMultilevel"/>
    <w:tmpl w:val="59EACD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A83470"/>
    <w:multiLevelType w:val="hybridMultilevel"/>
    <w:tmpl w:val="68F84BB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05277577">
    <w:abstractNumId w:val="2"/>
  </w:num>
  <w:num w:numId="2" w16cid:durableId="53479352">
    <w:abstractNumId w:val="13"/>
  </w:num>
  <w:num w:numId="3" w16cid:durableId="1151869538">
    <w:abstractNumId w:val="8"/>
  </w:num>
  <w:num w:numId="4" w16cid:durableId="876813561">
    <w:abstractNumId w:val="10"/>
  </w:num>
  <w:num w:numId="5" w16cid:durableId="123693561">
    <w:abstractNumId w:val="3"/>
  </w:num>
  <w:num w:numId="6" w16cid:durableId="1269966913">
    <w:abstractNumId w:val="0"/>
  </w:num>
  <w:num w:numId="7" w16cid:durableId="1615676228">
    <w:abstractNumId w:val="4"/>
  </w:num>
  <w:num w:numId="8" w16cid:durableId="593631147">
    <w:abstractNumId w:val="7"/>
  </w:num>
  <w:num w:numId="9" w16cid:durableId="895816649">
    <w:abstractNumId w:val="11"/>
  </w:num>
  <w:num w:numId="10" w16cid:durableId="1739094016">
    <w:abstractNumId w:val="5"/>
  </w:num>
  <w:num w:numId="11" w16cid:durableId="1855416310">
    <w:abstractNumId w:val="6"/>
  </w:num>
  <w:num w:numId="12" w16cid:durableId="161819594">
    <w:abstractNumId w:val="15"/>
  </w:num>
  <w:num w:numId="13" w16cid:durableId="1557088922">
    <w:abstractNumId w:val="12"/>
  </w:num>
  <w:num w:numId="14" w16cid:durableId="1199931214">
    <w:abstractNumId w:val="9"/>
  </w:num>
  <w:num w:numId="15" w16cid:durableId="1896506532">
    <w:abstractNumId w:val="16"/>
  </w:num>
  <w:num w:numId="16" w16cid:durableId="463885172">
    <w:abstractNumId w:val="14"/>
  </w:num>
  <w:num w:numId="17" w16cid:durableId="83364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7"/>
    <w:rsid w:val="00011F61"/>
    <w:rsid w:val="00055A37"/>
    <w:rsid w:val="00067850"/>
    <w:rsid w:val="00073417"/>
    <w:rsid w:val="000757DA"/>
    <w:rsid w:val="00087F58"/>
    <w:rsid w:val="000923B7"/>
    <w:rsid w:val="000A1620"/>
    <w:rsid w:val="000A3B2D"/>
    <w:rsid w:val="000C2D23"/>
    <w:rsid w:val="000D700D"/>
    <w:rsid w:val="00127275"/>
    <w:rsid w:val="001A22FC"/>
    <w:rsid w:val="001C0935"/>
    <w:rsid w:val="001D27D5"/>
    <w:rsid w:val="001E65D5"/>
    <w:rsid w:val="001F4C95"/>
    <w:rsid w:val="00211ED3"/>
    <w:rsid w:val="002337FB"/>
    <w:rsid w:val="002708B1"/>
    <w:rsid w:val="00297873"/>
    <w:rsid w:val="002A45CD"/>
    <w:rsid w:val="002C4217"/>
    <w:rsid w:val="002D02C8"/>
    <w:rsid w:val="002D56D0"/>
    <w:rsid w:val="0032195D"/>
    <w:rsid w:val="00323A06"/>
    <w:rsid w:val="003254FF"/>
    <w:rsid w:val="00333A20"/>
    <w:rsid w:val="003529F2"/>
    <w:rsid w:val="003B20A6"/>
    <w:rsid w:val="003C67B9"/>
    <w:rsid w:val="003E6D18"/>
    <w:rsid w:val="00426DAA"/>
    <w:rsid w:val="004277DB"/>
    <w:rsid w:val="00463F70"/>
    <w:rsid w:val="004658CE"/>
    <w:rsid w:val="00482C89"/>
    <w:rsid w:val="004B1CA5"/>
    <w:rsid w:val="004B6666"/>
    <w:rsid w:val="004C5F69"/>
    <w:rsid w:val="005B2BE8"/>
    <w:rsid w:val="005F179D"/>
    <w:rsid w:val="006A0886"/>
    <w:rsid w:val="006B53DA"/>
    <w:rsid w:val="006D530C"/>
    <w:rsid w:val="006F4F02"/>
    <w:rsid w:val="00711D92"/>
    <w:rsid w:val="0071548B"/>
    <w:rsid w:val="007A3C49"/>
    <w:rsid w:val="007A5C0C"/>
    <w:rsid w:val="007A6E8B"/>
    <w:rsid w:val="007B3ADB"/>
    <w:rsid w:val="007C2BC5"/>
    <w:rsid w:val="0080049D"/>
    <w:rsid w:val="00802A81"/>
    <w:rsid w:val="0081487D"/>
    <w:rsid w:val="008377AF"/>
    <w:rsid w:val="008B5C86"/>
    <w:rsid w:val="00931AB2"/>
    <w:rsid w:val="00970325"/>
    <w:rsid w:val="009C7229"/>
    <w:rsid w:val="00A05FEE"/>
    <w:rsid w:val="00A3453D"/>
    <w:rsid w:val="00A62FF5"/>
    <w:rsid w:val="00A751BF"/>
    <w:rsid w:val="00A760BE"/>
    <w:rsid w:val="00B92A90"/>
    <w:rsid w:val="00BA55E2"/>
    <w:rsid w:val="00BD6347"/>
    <w:rsid w:val="00BF5025"/>
    <w:rsid w:val="00BF5C78"/>
    <w:rsid w:val="00CB53D0"/>
    <w:rsid w:val="00CC11EB"/>
    <w:rsid w:val="00CD61A4"/>
    <w:rsid w:val="00CD7C3A"/>
    <w:rsid w:val="00D22632"/>
    <w:rsid w:val="00D60DA8"/>
    <w:rsid w:val="00D948F7"/>
    <w:rsid w:val="00DC0697"/>
    <w:rsid w:val="00DF5F42"/>
    <w:rsid w:val="00E01973"/>
    <w:rsid w:val="00E1195E"/>
    <w:rsid w:val="00E36A1C"/>
    <w:rsid w:val="00E923C4"/>
    <w:rsid w:val="00E93F15"/>
    <w:rsid w:val="00EB0497"/>
    <w:rsid w:val="00EB0F5D"/>
    <w:rsid w:val="00EB5D79"/>
    <w:rsid w:val="00F263E0"/>
    <w:rsid w:val="00F72CE5"/>
    <w:rsid w:val="00F72FCF"/>
    <w:rsid w:val="00F94005"/>
    <w:rsid w:val="00FD70D9"/>
    <w:rsid w:val="00FF18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0B1E"/>
  <w15:chartTrackingRefBased/>
  <w15:docId w15:val="{F3878D7C-356A-4120-85D6-D7131AE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497"/>
    <w:pPr>
      <w:ind w:left="720"/>
      <w:contextualSpacing/>
    </w:pPr>
  </w:style>
  <w:style w:type="character" w:styleId="Hyperlink">
    <w:name w:val="Hyperlink"/>
    <w:basedOn w:val="DefaultParagraphFont"/>
    <w:uiPriority w:val="99"/>
    <w:unhideWhenUsed/>
    <w:rsid w:val="00E01973"/>
    <w:rPr>
      <w:color w:val="0563C1" w:themeColor="hyperlink"/>
      <w:u w:val="single"/>
    </w:rPr>
  </w:style>
  <w:style w:type="paragraph" w:styleId="Header">
    <w:name w:val="header"/>
    <w:basedOn w:val="Normal"/>
    <w:link w:val="HeaderChar"/>
    <w:uiPriority w:val="99"/>
    <w:unhideWhenUsed/>
    <w:rsid w:val="00802A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A81"/>
  </w:style>
  <w:style w:type="paragraph" w:styleId="Footer">
    <w:name w:val="footer"/>
    <w:basedOn w:val="Normal"/>
    <w:link w:val="FooterChar"/>
    <w:uiPriority w:val="99"/>
    <w:unhideWhenUsed/>
    <w:rsid w:val="00802A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A81"/>
  </w:style>
  <w:style w:type="character" w:styleId="FollowedHyperlink">
    <w:name w:val="FollowedHyperlink"/>
    <w:basedOn w:val="DefaultParagraphFont"/>
    <w:uiPriority w:val="99"/>
    <w:semiHidden/>
    <w:unhideWhenUsed/>
    <w:rsid w:val="002D02C8"/>
    <w:rPr>
      <w:color w:val="954F72" w:themeColor="followedHyperlink"/>
      <w:u w:val="single"/>
    </w:rPr>
  </w:style>
  <w:style w:type="character" w:styleId="CommentReference">
    <w:name w:val="annotation reference"/>
    <w:basedOn w:val="DefaultParagraphFont"/>
    <w:uiPriority w:val="99"/>
    <w:semiHidden/>
    <w:unhideWhenUsed/>
    <w:rsid w:val="009C7229"/>
    <w:rPr>
      <w:sz w:val="16"/>
      <w:szCs w:val="16"/>
    </w:rPr>
  </w:style>
  <w:style w:type="paragraph" w:styleId="CommentText">
    <w:name w:val="annotation text"/>
    <w:basedOn w:val="Normal"/>
    <w:link w:val="CommentTextChar"/>
    <w:uiPriority w:val="99"/>
    <w:unhideWhenUsed/>
    <w:rsid w:val="009C7229"/>
    <w:pPr>
      <w:spacing w:line="240" w:lineRule="auto"/>
    </w:pPr>
    <w:rPr>
      <w:sz w:val="20"/>
      <w:szCs w:val="20"/>
    </w:rPr>
  </w:style>
  <w:style w:type="character" w:customStyle="1" w:styleId="CommentTextChar">
    <w:name w:val="Comment Text Char"/>
    <w:basedOn w:val="DefaultParagraphFont"/>
    <w:link w:val="CommentText"/>
    <w:uiPriority w:val="99"/>
    <w:rsid w:val="009C7229"/>
    <w:rPr>
      <w:sz w:val="20"/>
      <w:szCs w:val="20"/>
    </w:rPr>
  </w:style>
  <w:style w:type="paragraph" w:styleId="CommentSubject">
    <w:name w:val="annotation subject"/>
    <w:basedOn w:val="CommentText"/>
    <w:next w:val="CommentText"/>
    <w:link w:val="CommentSubjectChar"/>
    <w:uiPriority w:val="99"/>
    <w:semiHidden/>
    <w:unhideWhenUsed/>
    <w:rsid w:val="009C7229"/>
    <w:rPr>
      <w:b/>
      <w:bCs/>
    </w:rPr>
  </w:style>
  <w:style w:type="character" w:customStyle="1" w:styleId="CommentSubjectChar">
    <w:name w:val="Comment Subject Char"/>
    <w:basedOn w:val="CommentTextChar"/>
    <w:link w:val="CommentSubject"/>
    <w:uiPriority w:val="99"/>
    <w:semiHidden/>
    <w:rsid w:val="009C7229"/>
    <w:rPr>
      <w:b/>
      <w:bCs/>
      <w:sz w:val="20"/>
      <w:szCs w:val="20"/>
    </w:rPr>
  </w:style>
  <w:style w:type="character" w:styleId="UnresolvedMention">
    <w:name w:val="Unresolved Mention"/>
    <w:basedOn w:val="DefaultParagraphFont"/>
    <w:uiPriority w:val="99"/>
    <w:semiHidden/>
    <w:unhideWhenUsed/>
    <w:rsid w:val="0042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Kurešić</dc:creator>
  <cp:keywords/>
  <dc:description/>
  <cp:lastModifiedBy>Zorica Kurešić</cp:lastModifiedBy>
  <cp:revision>8</cp:revision>
  <dcterms:created xsi:type="dcterms:W3CDTF">2023-03-21T13:16:00Z</dcterms:created>
  <dcterms:modified xsi:type="dcterms:W3CDTF">2024-03-06T10:12:00Z</dcterms:modified>
</cp:coreProperties>
</file>