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D657" w14:textId="2A45B812" w:rsidR="00C75334" w:rsidRPr="006037CE" w:rsidRDefault="00C75334" w:rsidP="002E74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</w:t>
      </w:r>
      <w:r w:rsidR="00296FD0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</w:t>
      </w:r>
      <w:r w:rsidR="0072505D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11. stavka 1. </w:t>
      </w:r>
      <w:r w:rsidR="0072505D" w:rsidRPr="00F46A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članka </w:t>
      </w:r>
      <w:r w:rsidR="00296FD0" w:rsidRPr="00F46A52">
        <w:rPr>
          <w:rFonts w:ascii="Times New Roman" w:eastAsia="Times New Roman" w:hAnsi="Times New Roman" w:cs="Times New Roman"/>
          <w:sz w:val="24"/>
          <w:szCs w:val="24"/>
          <w:lang w:eastAsia="hr-HR"/>
        </w:rPr>
        <w:t>20. stavk</w:t>
      </w:r>
      <w:r w:rsidRPr="00F46A5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296FD0" w:rsidRPr="00F46A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2. Zakona o osnivanju Agencije za ugljikovodike (Narodne novine, broj </w:t>
      </w:r>
      <w:r w:rsidRPr="00F46A52">
        <w:rPr>
          <w:rFonts w:ascii="Times New Roman" w:eastAsia="Times New Roman" w:hAnsi="Times New Roman" w:cs="Times New Roman"/>
          <w:sz w:val="24"/>
          <w:szCs w:val="24"/>
          <w:lang w:eastAsia="hr-HR"/>
        </w:rPr>
        <w:t>14/2014</w:t>
      </w:r>
      <w:r w:rsidR="004F673C" w:rsidRPr="00F46A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929AD" w:rsidRPr="00F46A52">
        <w:rPr>
          <w:rFonts w:ascii="Times New Roman" w:eastAsia="Times New Roman" w:hAnsi="Times New Roman" w:cs="Times New Roman"/>
          <w:sz w:val="24"/>
          <w:szCs w:val="24"/>
          <w:lang w:eastAsia="hr-HR"/>
        </w:rPr>
        <w:t>73/2017</w:t>
      </w:r>
      <w:r w:rsidR="004F673C" w:rsidRPr="00F46A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42243F" w:rsidRPr="00F46A52">
        <w:rPr>
          <w:rFonts w:ascii="Times New Roman" w:eastAsia="Times New Roman" w:hAnsi="Times New Roman" w:cs="Times New Roman"/>
          <w:sz w:val="24"/>
          <w:szCs w:val="24"/>
          <w:lang w:eastAsia="hr-HR"/>
        </w:rPr>
        <w:t>84</w:t>
      </w:r>
      <w:r w:rsidR="004F673C" w:rsidRPr="00F46A52">
        <w:rPr>
          <w:rFonts w:ascii="Times New Roman" w:eastAsia="Times New Roman" w:hAnsi="Times New Roman" w:cs="Times New Roman"/>
          <w:sz w:val="24"/>
          <w:szCs w:val="24"/>
          <w:lang w:eastAsia="hr-HR"/>
        </w:rPr>
        <w:t>/2021</w:t>
      </w:r>
      <w:r w:rsidR="00C929AD" w:rsidRPr="00F46A52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296FD0" w:rsidRPr="00F46A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Odluke Vlade Republike Hrvatske o davanju prethodne suglasnosti na </w:t>
      </w:r>
      <w:r w:rsidR="00EA430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153070" w:rsidRPr="00F46A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zmjene </w:t>
      </w:r>
      <w:r w:rsidR="00296FD0" w:rsidRPr="00F46A52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</w:t>
      </w:r>
      <w:r w:rsidR="00153070" w:rsidRPr="00F46A5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296FD0" w:rsidRPr="00F46A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Agencije za ugljikovodike (</w:t>
      </w:r>
      <w:r w:rsidR="00EA4308" w:rsidRPr="005A3BC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022-03/</w:t>
      </w:r>
      <w:r w:rsidR="00EA4308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EA4308" w:rsidRPr="005A3BC6">
        <w:rPr>
          <w:rFonts w:ascii="Times New Roman" w:eastAsia="Times New Roman" w:hAnsi="Times New Roman" w:cs="Times New Roman"/>
          <w:sz w:val="24"/>
          <w:szCs w:val="24"/>
          <w:lang w:eastAsia="hr-HR"/>
        </w:rPr>
        <w:t>-04/</w:t>
      </w:r>
      <w:r w:rsidR="00EA4308">
        <w:rPr>
          <w:rFonts w:ascii="Times New Roman" w:eastAsia="Times New Roman" w:hAnsi="Times New Roman" w:cs="Times New Roman"/>
          <w:sz w:val="24"/>
          <w:szCs w:val="24"/>
          <w:lang w:eastAsia="hr-HR"/>
        </w:rPr>
        <w:t>371</w:t>
      </w:r>
      <w:r w:rsidR="00EA4308" w:rsidRPr="005A3BC6">
        <w:rPr>
          <w:rFonts w:ascii="Times New Roman" w:eastAsia="Times New Roman" w:hAnsi="Times New Roman" w:cs="Times New Roman"/>
          <w:sz w:val="24"/>
          <w:szCs w:val="24"/>
          <w:lang w:eastAsia="hr-HR"/>
        </w:rPr>
        <w:t>; URBROJ: 50301-</w:t>
      </w:r>
      <w:r w:rsidR="00EA4308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EA4308" w:rsidRPr="005A3BC6">
        <w:rPr>
          <w:rFonts w:ascii="Times New Roman" w:eastAsia="Times New Roman" w:hAnsi="Times New Roman" w:cs="Times New Roman"/>
          <w:sz w:val="24"/>
          <w:szCs w:val="24"/>
          <w:lang w:eastAsia="hr-HR"/>
        </w:rPr>
        <w:t>5/</w:t>
      </w:r>
      <w:r w:rsidR="00EA4308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EA4308" w:rsidRPr="005A3BC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EA4308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EA4308" w:rsidRPr="005A3B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-3; od </w:t>
      </w:r>
      <w:r w:rsidR="00EA4308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EA4308" w:rsidRPr="005A3B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A4308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EA4308" w:rsidRPr="005A3B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EA4308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EA4308" w:rsidRPr="005A3B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96FD0" w:rsidRPr="00F46A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="00AC1A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novi saziv </w:t>
      </w:r>
      <w:r w:rsidR="00296FD0" w:rsidRPr="00F46A52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</w:t>
      </w:r>
      <w:r w:rsidR="00AC1A46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296FD0" w:rsidRPr="00F46A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</w:t>
      </w:r>
      <w:r w:rsidR="00AC1A4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296FD0" w:rsidRPr="00F46A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Agencije za </w:t>
      </w:r>
      <w:r w:rsidR="00296FD0" w:rsidRPr="00097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ugljikovodike na </w:t>
      </w:r>
      <w:r w:rsidR="00AC1A46" w:rsidRPr="0009703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753E6" w:rsidRPr="00097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C1A46" w:rsidRPr="00097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elektronskoj </w:t>
      </w:r>
      <w:r w:rsidR="00296FD0" w:rsidRPr="00097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sjednici održanoj </w:t>
      </w:r>
      <w:r w:rsidR="00097033" w:rsidRPr="00097033">
        <w:rPr>
          <w:rFonts w:ascii="Times New Roman" w:eastAsia="Times New Roman" w:hAnsi="Times New Roman" w:cs="Times New Roman"/>
          <w:sz w:val="24"/>
          <w:szCs w:val="24"/>
          <w:lang w:eastAsia="hr-HR"/>
        </w:rPr>
        <w:t>u periodu od 1</w:t>
      </w:r>
      <w:r w:rsidR="004F673C" w:rsidRPr="0009703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97033" w:rsidRPr="00097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- 3.</w:t>
      </w:r>
      <w:r w:rsidR="00AC1A46" w:rsidRPr="00097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</w:t>
      </w:r>
      <w:r w:rsidR="004F673C" w:rsidRPr="00097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2021.</w:t>
      </w:r>
      <w:r w:rsidR="00296FD0" w:rsidRPr="00097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C7F1B" w:rsidRPr="00097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</w:t>
      </w:r>
      <w:r w:rsidR="00296FD0" w:rsidRPr="00097033">
        <w:rPr>
          <w:rFonts w:ascii="Times New Roman" w:eastAsia="Times New Roman" w:hAnsi="Times New Roman" w:cs="Times New Roman"/>
          <w:sz w:val="24"/>
          <w:szCs w:val="24"/>
          <w:lang w:eastAsia="hr-HR"/>
        </w:rPr>
        <w:t>don</w:t>
      </w:r>
      <w:r w:rsidR="00097033">
        <w:rPr>
          <w:rFonts w:ascii="Times New Roman" w:eastAsia="Times New Roman" w:hAnsi="Times New Roman" w:cs="Times New Roman"/>
          <w:sz w:val="24"/>
          <w:szCs w:val="24"/>
          <w:lang w:eastAsia="hr-HR"/>
        </w:rPr>
        <w:t>osi</w:t>
      </w:r>
    </w:p>
    <w:p w14:paraId="6C1A8605" w14:textId="77777777" w:rsidR="00C75334" w:rsidRPr="006037CE" w:rsidRDefault="00C75334" w:rsidP="0053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94536B" w14:textId="233A6F39" w:rsidR="00296FD0" w:rsidRPr="006037CE" w:rsidRDefault="00153070" w:rsidP="00BC71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037C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IZMJENE </w:t>
      </w:r>
      <w:r w:rsidR="00BC716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</w:t>
      </w:r>
      <w:r w:rsidR="00296FD0" w:rsidRPr="006037C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TATUT</w:t>
      </w:r>
      <w:r w:rsidRPr="006037C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53173A" w:rsidRPr="006037C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96FD0" w:rsidRPr="006037C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AGENCIJE ZA UGLJIKOVODIKE</w:t>
      </w:r>
    </w:p>
    <w:p w14:paraId="65511566" w14:textId="77777777" w:rsidR="00C75334" w:rsidRPr="006037CE" w:rsidRDefault="00C75334" w:rsidP="0053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AEC89D" w14:textId="77777777" w:rsidR="00296FD0" w:rsidRPr="006037CE" w:rsidRDefault="00296FD0" w:rsidP="00531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37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365311B7" w14:textId="77777777" w:rsidR="0053173A" w:rsidRPr="006037CE" w:rsidRDefault="0053173A" w:rsidP="00531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25C9CA" w14:textId="37C7C0D1" w:rsidR="00D93296" w:rsidRPr="006037CE" w:rsidRDefault="00A33F16" w:rsidP="00531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U Statutu</w:t>
      </w:r>
      <w:r w:rsidR="0053173A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Agencije za ugljikovodike </w:t>
      </w:r>
      <w:r w:rsidR="00F46A52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F46A52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BD63F2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012-03/14-01/06, </w:t>
      </w:r>
      <w:r w:rsidR="00F46A52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BD63F2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567-01/1-14-1 </w:t>
      </w:r>
      <w:r w:rsidR="0053173A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07. ožujka. 2014. </w:t>
      </w:r>
      <w:r w:rsidR="00D004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1E4A60" w:rsidRPr="001E4A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KLASA: 012-03/14-01/06, URBROJ: 405-01/1-18-3 od 22. veljače 2018. </w:t>
      </w:r>
      <w:r w:rsidR="00F46A5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</w:t>
      </w:r>
      <w:r w:rsidR="001E4A60" w:rsidRPr="001E4A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6037CE" w:rsidRPr="001E4A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</w:t>
      </w:r>
      <w:r w:rsidR="00D93296" w:rsidRPr="001E4A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lanak 7.</w:t>
      </w:r>
      <w:r w:rsidR="00D93296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mijenja se i glasi:</w:t>
      </w:r>
    </w:p>
    <w:p w14:paraId="60BB3215" w14:textId="77777777" w:rsidR="0053173A" w:rsidRPr="006037CE" w:rsidRDefault="0053173A" w:rsidP="0053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0743EB" w14:textId="77777777" w:rsidR="006037CE" w:rsidRPr="006037CE" w:rsidRDefault="006037CE" w:rsidP="00603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„(1) U okviru svoje djelatnosti Agencija obavlja sljedeće poslove:</w:t>
      </w:r>
    </w:p>
    <w:p w14:paraId="24C53F27" w14:textId="77777777" w:rsidR="006037CE" w:rsidRPr="006037CE" w:rsidRDefault="006037CE" w:rsidP="00603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3E147829" w14:textId="77777777" w:rsidR="006037CE" w:rsidRPr="006037CE" w:rsidRDefault="006037CE" w:rsidP="006037CE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pruža sustavnu operativnu podršku nadležnim tijelima u poslovima vezanim za istraživanje i eksploataciju ugljikovodika, geotermalnih voda za energetske svrhe, podzemno skladištenje plina, kao i trajno zbrinjavanje ugljikova dioksida u geološkim strukturama, u poslovima osiguranja obveznih zaliha nafte i naftnih derivata te u poslovima vezanim uz razvoj i primjenu novih održivih tehnologija korištenja obnovljivih izvora energije </w:t>
      </w:r>
    </w:p>
    <w:p w14:paraId="32529131" w14:textId="77777777" w:rsidR="006037CE" w:rsidRPr="006037CE" w:rsidRDefault="006037CE" w:rsidP="006037CE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vodi i organizira </w:t>
      </w:r>
      <w:bookmarkStart w:id="0" w:name="_Hlk74562417"/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bazu geoloških i geofizičkih podataka, kao i podataka o bušotinama </w:t>
      </w:r>
      <w:bookmarkEnd w:id="0"/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radi upoznavanja potencijalnih investitora s ugljikovodičnim, geotermalnim i geološkim potencijalima za podzemno skladištenje plina i trajno zbrinjavanje ugljikova dioksida određenih područja Republike Hrvatske te priprema i organizira prezentacije</w:t>
      </w:r>
    </w:p>
    <w:p w14:paraId="2498C58A" w14:textId="77777777" w:rsidR="006037CE" w:rsidRPr="006037CE" w:rsidRDefault="006037CE" w:rsidP="006037CE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daje prijedloge ministarstvu nadležnom za energetiku za donošenje odluke o provođenju nadmetanja za istraživanje i eksploataciju ugljikovodika, geotermalnih voda </w:t>
      </w:r>
      <w:r w:rsidRPr="006E1560">
        <w:rPr>
          <w:rFonts w:ascii="Times New Roman" w:eastAsia="Calibri" w:hAnsi="Times New Roman" w:cs="Times New Roman"/>
          <w:sz w:val="24"/>
          <w:szCs w:val="24"/>
          <w:lang w:eastAsia="hr-HR"/>
        </w:rPr>
        <w:t>za</w:t>
      </w: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energetske svrhe, podzemno skladištenje plina i trajno zbrinjavanje ugljikova dioksida, za odabir najboljeg ponuditelja za izdavanje dozvole i sklapanje ugovora, te sudjeluje u provedbi nadmetanja za istraživanje i eksploataciju ugljikovodika, geotermalnih voda za energetske svrhe, podzemno skladištenje plina i trajno zbrinjavanje ugljikova dioksida, u svrhu izdavanja dozvole i sklapanja ugovora</w:t>
      </w:r>
    </w:p>
    <w:p w14:paraId="13DF1694" w14:textId="77777777" w:rsidR="006037CE" w:rsidRPr="006037CE" w:rsidRDefault="006037CE" w:rsidP="006037CE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utvrđuje troškove za istraživanje i eksploataciju ugljikovodika</w:t>
      </w:r>
    </w:p>
    <w:p w14:paraId="7071DE44" w14:textId="77777777" w:rsidR="006037CE" w:rsidRPr="006037CE" w:rsidRDefault="006037CE" w:rsidP="006037CE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osigurava uvjete za učinkovito izvršavanje prava i obveza investitora na temelju izdanih dozvola za istraživanje, dozvola za eksploataciju i sklopljenih ugovora o istraživanju i eksploataciji ugljikovodika, ugovora o eksploataciji geotermalnih voda i ugovora o podzemnom skladištenju plina</w:t>
      </w:r>
    </w:p>
    <w:p w14:paraId="5B68C0E0" w14:textId="77777777" w:rsidR="006037CE" w:rsidRPr="006037CE" w:rsidRDefault="006037CE" w:rsidP="006037CE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prati trendove i međunarodne standarde u istraživanju i eksploataciji</w:t>
      </w:r>
      <w:r w:rsidRPr="006037CE">
        <w:rPr>
          <w:rFonts w:ascii="Times New Roman" w:eastAsia="Calibri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ugljikovodika, geotermalnih voda za energetske svrhe, podzemnog skladištenja plina, trajnog zbrinjavanja ugljikova dioksida te ostalih novih tehnologija korištenja obnovljivih izvora energije</w:t>
      </w:r>
    </w:p>
    <w:p w14:paraId="5CBC3A0C" w14:textId="77777777" w:rsidR="006037CE" w:rsidRPr="006037CE" w:rsidRDefault="006037CE" w:rsidP="006037CE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izrađuje izvješća o izvršavanju obveza investitora na temelju izdanih dozvola za istraživanje, dozvola za eksploataciju i sklopljenih ugovora o istraživanju i eksploataciji ugljikovodika, ugovora o eksploataciji geotermalnih voda i ugovora o podzemnom skladištenju plina</w:t>
      </w:r>
    </w:p>
    <w:p w14:paraId="3C0BD50C" w14:textId="77777777" w:rsidR="006037CE" w:rsidRPr="006037CE" w:rsidRDefault="006037CE" w:rsidP="006037CE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odobrava radne programe i budžete u skladu s odredbama propisa kojima se uređuje istraživanje i eksploatacija ugljikovodika</w:t>
      </w:r>
    </w:p>
    <w:p w14:paraId="2CF8FC69" w14:textId="77777777" w:rsidR="006037CE" w:rsidRPr="006037CE" w:rsidRDefault="006037CE" w:rsidP="006037CE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kontrolira troškove po ugovoru o istraživanju i podjeli eksploatacije ugljikovodika u svrhu povrata troškova</w:t>
      </w:r>
    </w:p>
    <w:p w14:paraId="66F813D2" w14:textId="77777777" w:rsidR="006037CE" w:rsidRPr="006037CE" w:rsidRDefault="006037CE" w:rsidP="006037CE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daje podršku investitoru u postupcima ishođenja svih potrebnih dokumenata i/ili isprava potrebnih za istraživanje i eksploataciju ugljikovodika, a sukladno propisima kojima se uređuje </w:t>
      </w: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 xml:space="preserve">istraživanje i eksploatacija ugljikovodika i ugovoru sklopljenom između Vlade Republike Hrvatske i investitora </w:t>
      </w:r>
    </w:p>
    <w:p w14:paraId="561D4AA9" w14:textId="77777777" w:rsidR="006037CE" w:rsidRPr="006037CE" w:rsidRDefault="006037CE" w:rsidP="006037CE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pruža pomoć investitoru u svrhu rješavanja imovinsko-pravnih odnosa za zemljišne čestice unutar istražnog prostora i/ili eksploatacijskog polja</w:t>
      </w:r>
    </w:p>
    <w:p w14:paraId="3CC61A66" w14:textId="77777777" w:rsidR="006037CE" w:rsidRPr="006037CE" w:rsidRDefault="006037CE" w:rsidP="006037CE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izvještava Europsku komisiju o svim općim poteškoćama s kojima se susreću investitori prilikom pristupa ili provođenja aktivnosti po ovom Zakonu na koje im bude ukazano uz poštovanje poslovne tajne</w:t>
      </w:r>
    </w:p>
    <w:p w14:paraId="16EF8F34" w14:textId="77777777" w:rsidR="006037CE" w:rsidRPr="006037CE" w:rsidRDefault="006037CE" w:rsidP="006037CE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objavljuje i dostavlja Europskoj komisiji godišnje izvješće koje sadržava informacije o geografskim područjima koja su otvorena za istraživanje i eksploataciju ugljikovodika, izdanim dozvolama za istraživanje i eksploataciju ugljikovodika, ovlaštenicima dozvola i njihovu sastavu te procijenjenim rezervama koje se nalaze na njezinu teritoriju, ako navedeno ne predstavlja poslovne informacije povjerljive prirode</w:t>
      </w:r>
    </w:p>
    <w:p w14:paraId="7F5570B0" w14:textId="77777777" w:rsidR="006037CE" w:rsidRPr="006037CE" w:rsidRDefault="006037CE" w:rsidP="006037CE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kontrolira izvješća koja su investitori dužni dostaviti prilikom trajnog zbrinjavanja ugljikova dioksida u geološkim strukturama, poduzima potrebne korektivne mjere, odobrava privremeni plan postupanja nakon zatvaranja podzemnog skladišta te je odgovorna za praćenje, izvješćivanje i korektivne mjere nakon zatvaranja podzemnog skladišta</w:t>
      </w:r>
    </w:p>
    <w:p w14:paraId="0BD115FD" w14:textId="151F9029" w:rsidR="006037CE" w:rsidRPr="00F6202A" w:rsidRDefault="00F56F66" w:rsidP="006037CE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6202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istraživanja i eksploatacije geotermalnih voda </w:t>
      </w:r>
      <w:r w:rsidR="00992607" w:rsidRPr="00F6202A">
        <w:rPr>
          <w:rFonts w:ascii="Times New Roman" w:eastAsia="Calibri" w:hAnsi="Times New Roman" w:cs="Times New Roman"/>
          <w:sz w:val="24"/>
          <w:szCs w:val="24"/>
          <w:lang w:eastAsia="hr-HR"/>
        </w:rPr>
        <w:t>te izra</w:t>
      </w:r>
      <w:r w:rsidRPr="00F6202A">
        <w:rPr>
          <w:rFonts w:ascii="Times New Roman" w:eastAsia="Calibri" w:hAnsi="Times New Roman" w:cs="Times New Roman"/>
          <w:sz w:val="24"/>
          <w:szCs w:val="24"/>
          <w:lang w:eastAsia="hr-HR"/>
        </w:rPr>
        <w:t>de</w:t>
      </w:r>
      <w:r w:rsidR="00992607" w:rsidRPr="00F6202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naftno-rudarsk</w:t>
      </w:r>
      <w:r w:rsidRPr="00F6202A">
        <w:rPr>
          <w:rFonts w:ascii="Times New Roman" w:eastAsia="Calibri" w:hAnsi="Times New Roman" w:cs="Times New Roman"/>
          <w:sz w:val="24"/>
          <w:szCs w:val="24"/>
          <w:lang w:eastAsia="hr-HR"/>
        </w:rPr>
        <w:t>ih</w:t>
      </w:r>
      <w:r w:rsidR="00992607" w:rsidRPr="00F6202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projek</w:t>
      </w:r>
      <w:r w:rsidRPr="00F6202A">
        <w:rPr>
          <w:rFonts w:ascii="Times New Roman" w:eastAsia="Calibri" w:hAnsi="Times New Roman" w:cs="Times New Roman"/>
          <w:sz w:val="24"/>
          <w:szCs w:val="24"/>
          <w:lang w:eastAsia="hr-HR"/>
        </w:rPr>
        <w:t>ata</w:t>
      </w:r>
      <w:r w:rsidR="00992607" w:rsidRPr="00F6202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elaborat</w:t>
      </w:r>
      <w:r w:rsidRPr="00F6202A"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 w:rsidR="00992607" w:rsidRPr="00F6202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o rezervama</w:t>
      </w:r>
    </w:p>
    <w:p w14:paraId="6F453CBC" w14:textId="77777777" w:rsidR="006037CE" w:rsidRPr="006037CE" w:rsidRDefault="006037CE" w:rsidP="006037CE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7298F">
        <w:rPr>
          <w:rFonts w:ascii="Times New Roman" w:eastAsia="Calibri" w:hAnsi="Times New Roman" w:cs="Times New Roman"/>
          <w:sz w:val="24"/>
          <w:szCs w:val="24"/>
          <w:lang w:eastAsia="hr-HR"/>
        </w:rPr>
        <w:t>predlaže osnivanje razvojnog društva radi poticanja i razvoja potencijala u istraživanju i eksploataciji geotermalnih voda i trajnom zbrinjavanju ugljikova dioksida</w:t>
      </w: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 Republici Hrvatskoj sukladno propisima koji uređuju istraživanje i eksploataciju geotermalnih voda</w:t>
      </w:r>
    </w:p>
    <w:p w14:paraId="4E37F07B" w14:textId="06140746" w:rsidR="006037CE" w:rsidRPr="006037CE" w:rsidRDefault="006037CE" w:rsidP="006037CE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priprema i dostavlja inicijative za izradu i izmjenu i dopunu prostornog plana te sudjeluje u postupcima sukladno propisima iz područja prostornog uređenja u cilju provedbe </w:t>
      </w:r>
      <w:r w:rsidR="00B637A8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 w:rsidR="00C63059"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kvirnog </w:t>
      </w: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plana i programa istraživanja i eksploatacije ugljikovodika na Jadranu i </w:t>
      </w:r>
      <w:r w:rsidR="00B637A8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 w:rsidR="00C63059"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kvirnog </w:t>
      </w: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plana i programa istraživanja i eksploatacije ugljikovodika na kopnu sukladno propisima kojima se uređuje istraživanje i eksploatacija ugljikovodika</w:t>
      </w:r>
    </w:p>
    <w:p w14:paraId="53118602" w14:textId="77777777" w:rsidR="006037CE" w:rsidRPr="006037CE" w:rsidRDefault="006037CE" w:rsidP="006037CE">
      <w:pPr>
        <w:numPr>
          <w:ilvl w:val="0"/>
          <w:numId w:val="25"/>
        </w:numPr>
        <w:spacing w:after="0" w:line="240" w:lineRule="auto"/>
        <w:ind w:left="426" w:hanging="437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trgovinu na veliko naftnim derivatima</w:t>
      </w:r>
    </w:p>
    <w:p w14:paraId="624EE712" w14:textId="77777777" w:rsidR="006037CE" w:rsidRPr="006037CE" w:rsidRDefault="006037CE" w:rsidP="006037CE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trgovinu na veliko krutim, tekućim i plinovitim gorivima i srodnim proizvodima</w:t>
      </w:r>
    </w:p>
    <w:p w14:paraId="08039068" w14:textId="77777777" w:rsidR="006037CE" w:rsidRPr="006037CE" w:rsidRDefault="006037CE" w:rsidP="006037CE">
      <w:pPr>
        <w:numPr>
          <w:ilvl w:val="0"/>
          <w:numId w:val="25"/>
        </w:numPr>
        <w:spacing w:after="0" w:line="240" w:lineRule="auto"/>
        <w:ind w:left="426" w:hanging="437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kupnju i prodaju nafte i naftnih derivata u svrhu formiranja i </w:t>
      </w:r>
      <w:proofErr w:type="spellStart"/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zanavljanja</w:t>
      </w:r>
      <w:proofErr w:type="spellEnd"/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zaliha</w:t>
      </w:r>
    </w:p>
    <w:p w14:paraId="0BC7AAB8" w14:textId="77777777" w:rsidR="006037CE" w:rsidRPr="006037CE" w:rsidRDefault="006037CE" w:rsidP="006037CE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puštanje obveznih zaliha nafte i naftnih derivata na tržište u slučaju poremećaja opskrbe</w:t>
      </w:r>
    </w:p>
    <w:p w14:paraId="05ED0C85" w14:textId="77777777" w:rsidR="006037CE" w:rsidRPr="006037CE" w:rsidRDefault="006037CE" w:rsidP="006037CE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organizaciju, nadzor i upravljanje obveznim zalihama nafte i naftnih derivata</w:t>
      </w:r>
    </w:p>
    <w:p w14:paraId="7205FC37" w14:textId="77777777" w:rsidR="006037CE" w:rsidRPr="006037CE" w:rsidRDefault="006037CE" w:rsidP="006037CE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utvrđivanje uvjeta za skladištenje obveznih zaliha nafte i naftnih derivata</w:t>
      </w:r>
    </w:p>
    <w:p w14:paraId="6AA9C922" w14:textId="77777777" w:rsidR="006037CE" w:rsidRPr="006037CE" w:rsidRDefault="006037CE" w:rsidP="006037CE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skladištenje naftnih derivata</w:t>
      </w:r>
    </w:p>
    <w:p w14:paraId="0E9600A3" w14:textId="77777777" w:rsidR="006037CE" w:rsidRPr="006037CE" w:rsidRDefault="006037CE" w:rsidP="006037CE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skladištenje i/ili nadzor obveznih zaliha naftnih derivata drugih država koje se sukladno međudržavnim sporazumima i/ili direktivama Europske unije čuvaju na državnom području Republike Hrvatske</w:t>
      </w:r>
    </w:p>
    <w:p w14:paraId="2BA3142E" w14:textId="77777777" w:rsidR="006037CE" w:rsidRPr="006037CE" w:rsidRDefault="006037CE" w:rsidP="006037CE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kupnju i/ili gradnju spremnika, pripadajućih lučkih i kopnenih postrojenja i instalacija te upravljanje njima</w:t>
      </w:r>
    </w:p>
    <w:p w14:paraId="2A49ED92" w14:textId="77777777" w:rsidR="006037CE" w:rsidRPr="006037CE" w:rsidRDefault="006037CE" w:rsidP="006037CE">
      <w:pPr>
        <w:numPr>
          <w:ilvl w:val="0"/>
          <w:numId w:val="25"/>
        </w:numPr>
        <w:spacing w:after="0" w:line="240" w:lineRule="auto"/>
        <w:ind w:left="426" w:hanging="437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nadzor količine i kvalitete obveznih zaliha nafte, naftnih derivata i usluga</w:t>
      </w:r>
    </w:p>
    <w:p w14:paraId="712BD11A" w14:textId="77777777" w:rsidR="006037CE" w:rsidRPr="006037CE" w:rsidRDefault="006037CE" w:rsidP="006037CE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prikupljanje i obrada podataka o stanju i prometu komercijalnih, operativnih i obveznih zaliha nafte, odnosno naftnih derivata</w:t>
      </w:r>
    </w:p>
    <w:p w14:paraId="3901D532" w14:textId="77777777" w:rsidR="006037CE" w:rsidRPr="006037CE" w:rsidRDefault="006037CE" w:rsidP="006037CE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suradnju s ministarstvima i nadležnim inspekcijama sukladno posebnim propisima</w:t>
      </w:r>
    </w:p>
    <w:p w14:paraId="165CB7A8" w14:textId="77777777" w:rsidR="006037CE" w:rsidRPr="006037CE" w:rsidRDefault="006037CE" w:rsidP="006037CE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provedbu međudržavnih ugovora i sporazuma</w:t>
      </w:r>
    </w:p>
    <w:p w14:paraId="7DFE6F5C" w14:textId="77777777" w:rsidR="006037CE" w:rsidRPr="006037CE" w:rsidRDefault="006037CE" w:rsidP="006037CE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suradnju s domaćim i inozemnim energetskim tijelima i/ili subjektima.</w:t>
      </w:r>
    </w:p>
    <w:p w14:paraId="250319A1" w14:textId="77777777" w:rsidR="006037CE" w:rsidRPr="006037CE" w:rsidRDefault="006037CE" w:rsidP="00603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02FAFD0D" w14:textId="77777777" w:rsidR="006037CE" w:rsidRPr="006037CE" w:rsidRDefault="006037CE" w:rsidP="00603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sz w:val="24"/>
          <w:szCs w:val="24"/>
          <w:lang w:eastAsia="hr-HR"/>
        </w:rPr>
        <w:t>(2) Agencija kao javnu ovlast obavlja posao vođenja registra ugovora u koji unosi osnovne podatke o svim sklopljenim ugovorima.</w:t>
      </w:r>
    </w:p>
    <w:p w14:paraId="71CA7ABE" w14:textId="77777777" w:rsidR="006037CE" w:rsidRPr="006037CE" w:rsidRDefault="006037CE" w:rsidP="00603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7FD3AC81" w14:textId="77777777" w:rsidR="006037CE" w:rsidRPr="006037CE" w:rsidRDefault="006037CE" w:rsidP="006037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37CE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(3) Osim poslova definiranih u stavcima 1. i 2. ovoga članka Agencija obavlja i druge poslove u skladu s ovim Zakonom i drugim propisima iz područja djelatnosti Agencije.</w:t>
      </w:r>
    </w:p>
    <w:p w14:paraId="768DCDC4" w14:textId="77777777" w:rsidR="006037CE" w:rsidRPr="006037CE" w:rsidRDefault="006037CE" w:rsidP="006037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7A047645" w14:textId="72C8F346" w:rsidR="00456AD1" w:rsidRDefault="006037CE" w:rsidP="006037CE">
      <w:pPr>
        <w:pStyle w:val="box455252"/>
        <w:spacing w:before="0" w:beforeAutospacing="0" w:after="0" w:afterAutospacing="0"/>
        <w:jc w:val="both"/>
      </w:pPr>
      <w:r w:rsidRPr="006037CE">
        <w:rPr>
          <w:rFonts w:eastAsia="Calibri"/>
          <w:color w:val="000000"/>
          <w:lang w:eastAsia="en-US"/>
        </w:rPr>
        <w:lastRenderedPageBreak/>
        <w:t>(4) Agencija u suradnji s ministarstvom nadležnim za energetiku vodi i ažurira registre na digitalnoj platformi sukladno propisima koji uređuju istraživanje i eksploataciju ugljikovodika, geotermalnih voda za energetske svrhe, podzemno skladištenje plina i trajno zbrinjavanje ugljikova dioksida.“</w:t>
      </w:r>
      <w:r w:rsidR="008F7024" w:rsidRPr="006037CE">
        <w:t>.</w:t>
      </w:r>
    </w:p>
    <w:p w14:paraId="74B1669F" w14:textId="10B670D8" w:rsidR="00992607" w:rsidRDefault="00992607" w:rsidP="00992607">
      <w:pPr>
        <w:pStyle w:val="box455252"/>
        <w:spacing w:before="0" w:beforeAutospacing="0" w:after="0" w:afterAutospacing="0"/>
        <w:jc w:val="both"/>
      </w:pPr>
    </w:p>
    <w:p w14:paraId="64940E4B" w14:textId="7EA0FC00" w:rsidR="00992607" w:rsidRDefault="00992607" w:rsidP="00992607">
      <w:pPr>
        <w:pStyle w:val="box455252"/>
        <w:spacing w:before="0" w:beforeAutospacing="0" w:after="0" w:afterAutospacing="0"/>
        <w:jc w:val="both"/>
      </w:pPr>
      <w:r w:rsidRPr="0027298F">
        <w:t>(5) Agencija je ovlaštena davati na korištenje podatke koji se prikupljeni pri istraživanju i eksploataciji sukladno Pravilniku koji donosi ministar nadležan za energetiku uz prethodnu suglasnost ministra nadležnog za financije.</w:t>
      </w:r>
    </w:p>
    <w:p w14:paraId="183A3F29" w14:textId="094F9ADE" w:rsidR="0053173A" w:rsidRPr="006037CE" w:rsidRDefault="0053173A" w:rsidP="0053173A">
      <w:pPr>
        <w:pStyle w:val="box455252"/>
        <w:spacing w:before="0" w:beforeAutospacing="0" w:after="0" w:afterAutospacing="0"/>
        <w:jc w:val="both"/>
      </w:pPr>
    </w:p>
    <w:p w14:paraId="0D95D8BF" w14:textId="770D8645" w:rsidR="00296FD0" w:rsidRDefault="00D93296" w:rsidP="00531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37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6037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296FD0" w:rsidRPr="006037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CE4F229" w14:textId="528BE69E" w:rsidR="001B51D6" w:rsidRDefault="001B51D6" w:rsidP="00531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DB89D66" w14:textId="77777777" w:rsidR="00517C92" w:rsidRPr="00450572" w:rsidRDefault="00517C92" w:rsidP="0051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572">
        <w:rPr>
          <w:rFonts w:ascii="Times New Roman" w:eastAsia="Times New Roman" w:hAnsi="Times New Roman" w:cs="Times New Roman"/>
          <w:sz w:val="24"/>
          <w:szCs w:val="24"/>
          <w:lang w:eastAsia="hr-HR"/>
        </w:rPr>
        <w:t>U članku 8. stavak 1. mijenja se i glasi:</w:t>
      </w:r>
    </w:p>
    <w:p w14:paraId="3E7B33D6" w14:textId="77777777" w:rsidR="00517C92" w:rsidRPr="00450572" w:rsidRDefault="00517C92" w:rsidP="0051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F4ED16" w14:textId="0FF64F86" w:rsidR="00517C92" w:rsidRDefault="00517C92" w:rsidP="002E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572">
        <w:rPr>
          <w:rFonts w:ascii="Times New Roman" w:eastAsia="Times New Roman" w:hAnsi="Times New Roman" w:cs="Times New Roman"/>
          <w:sz w:val="24"/>
          <w:szCs w:val="24"/>
          <w:lang w:eastAsia="hr-HR"/>
        </w:rPr>
        <w:t>„(1) Poslovanje Agencije treba voditi pažnjom dobrog gospodarstvenika, nastojeći da se svim resursima iz nadležnosti Agencije gospodari na optimalan način“.</w:t>
      </w:r>
    </w:p>
    <w:p w14:paraId="775575E8" w14:textId="77777777" w:rsidR="002E7409" w:rsidRPr="002E7409" w:rsidRDefault="002E7409" w:rsidP="002E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9EBE04" w14:textId="660D8569" w:rsidR="00517C92" w:rsidRDefault="00517C92" w:rsidP="00517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37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6037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C1B300F" w14:textId="77777777" w:rsidR="00517C92" w:rsidRDefault="00517C92" w:rsidP="00531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9E126EE" w14:textId="5C5F35E8" w:rsidR="001B51D6" w:rsidRPr="001B51D6" w:rsidRDefault="001B51D6" w:rsidP="001B51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B51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članku 9. stavku 1. riječi: „15. veljače“ zamjenjuju se riječima: „30. travnja“</w:t>
      </w:r>
    </w:p>
    <w:p w14:paraId="4BA3FE97" w14:textId="6D6AC39D" w:rsidR="001B51D6" w:rsidRPr="001B51D6" w:rsidRDefault="001B51D6" w:rsidP="001B51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3DF594B" w14:textId="49B661D3" w:rsidR="001B51D6" w:rsidRPr="001B51D6" w:rsidRDefault="001B51D6" w:rsidP="001B51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B51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članku 9. stavku 2. riječi: „15. veljače“ zamjenjuju se riječima: „30. travnja“</w:t>
      </w:r>
    </w:p>
    <w:p w14:paraId="22325D09" w14:textId="0127F72B" w:rsidR="001B51D6" w:rsidRDefault="001B51D6" w:rsidP="00531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41D860" w14:textId="0E2CED6C" w:rsidR="001B51D6" w:rsidRPr="006037CE" w:rsidRDefault="001B51D6" w:rsidP="00531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517C9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14:paraId="48A8CA7D" w14:textId="77777777" w:rsidR="0053173A" w:rsidRPr="006037CE" w:rsidRDefault="0053173A" w:rsidP="00531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61546D" w14:textId="77777777" w:rsidR="008F5DAB" w:rsidRPr="006037CE" w:rsidRDefault="0053173A" w:rsidP="0053173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 w:rsidR="008F5DAB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10. mijenja se i glasi: </w:t>
      </w:r>
    </w:p>
    <w:p w14:paraId="3FF0B336" w14:textId="77777777" w:rsidR="00456AD1" w:rsidRPr="006037CE" w:rsidRDefault="00456AD1" w:rsidP="0053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1801C0" w14:textId="77777777" w:rsidR="003A7A5A" w:rsidRPr="006037CE" w:rsidRDefault="003A7A5A" w:rsidP="003A7A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„(1) Agencija poslove iz svoje nadležnosti obavlja kroz ustrojstvene jedinice, u skladu s pravilnikom o radu i pravilnikom o organizaciji i sistematizaciji radnih mjesta.</w:t>
      </w:r>
    </w:p>
    <w:p w14:paraId="0407E225" w14:textId="00A4CC9A" w:rsidR="00D45F98" w:rsidRPr="006037CE" w:rsidRDefault="003A7A5A" w:rsidP="003A7A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U Agenciji postoje sljedeće ustrojstvene jedinice u nadležnosti Uprave: Ured uprave, Sektor </w:t>
      </w:r>
      <w:r w:rsidR="000B58D7">
        <w:rPr>
          <w:rFonts w:ascii="Times New Roman" w:eastAsia="Times New Roman" w:hAnsi="Times New Roman" w:cs="Times New Roman"/>
          <w:sz w:val="24"/>
          <w:szCs w:val="24"/>
          <w:lang w:eastAsia="hr-HR"/>
        </w:rPr>
        <w:t>za opće, financijske i pravne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poslov</w:t>
      </w:r>
      <w:r w:rsidR="00B04EE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Sektor za upravljanje podacima, Sektor za </w:t>
      </w:r>
      <w:r w:rsidR="009A2C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zaštitu </w:t>
      </w:r>
      <w:r w:rsidR="006E1560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</w:t>
      </w:r>
      <w:r w:rsidR="009A2CF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C630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07280">
        <w:rPr>
          <w:rFonts w:ascii="Times New Roman" w:eastAsia="Times New Roman" w:hAnsi="Times New Roman" w:cs="Times New Roman"/>
          <w:sz w:val="24"/>
          <w:szCs w:val="24"/>
          <w:lang w:eastAsia="hr-HR"/>
        </w:rPr>
        <w:t>i prostor</w:t>
      </w:r>
      <w:r w:rsidR="009A2CFC">
        <w:rPr>
          <w:rFonts w:ascii="Times New Roman" w:eastAsia="Times New Roman" w:hAnsi="Times New Roman" w:cs="Times New Roman"/>
          <w:sz w:val="24"/>
          <w:szCs w:val="24"/>
          <w:lang w:eastAsia="hr-HR"/>
        </w:rPr>
        <w:t>no uređenje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Sektor </w:t>
      </w:r>
      <w:r w:rsidRPr="001C47F2">
        <w:rPr>
          <w:rFonts w:ascii="Times New Roman" w:eastAsia="Times New Roman" w:hAnsi="Times New Roman" w:cs="Times New Roman"/>
          <w:sz w:val="24"/>
          <w:szCs w:val="24"/>
          <w:lang w:eastAsia="hr-HR"/>
        </w:rPr>
        <w:t>za istraživanje i eksploataciju</w:t>
      </w:r>
      <w:r w:rsidRPr="006E1560">
        <w:rPr>
          <w:rFonts w:ascii="Times New Roman" w:eastAsia="Times New Roman" w:hAnsi="Times New Roman" w:cs="Times New Roman"/>
          <w:sz w:val="24"/>
          <w:szCs w:val="24"/>
          <w:lang w:eastAsia="hr-HR"/>
        </w:rPr>
        <w:t>, Sektor za praćenje i podršku investitorima</w:t>
      </w:r>
      <w:r w:rsidR="00B04E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6E1560">
        <w:rPr>
          <w:rFonts w:ascii="Times New Roman" w:eastAsia="Times New Roman" w:hAnsi="Times New Roman" w:cs="Times New Roman"/>
          <w:sz w:val="24"/>
          <w:szCs w:val="24"/>
          <w:lang w:eastAsia="hr-HR"/>
        </w:rPr>
        <w:t>Sektor za obvezne zalihe nafte i naftnih derivata</w:t>
      </w:r>
      <w:r w:rsidR="008072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Sektor za </w:t>
      </w:r>
      <w:r w:rsidR="00CC751A">
        <w:rPr>
          <w:rFonts w:ascii="Times New Roman" w:eastAsia="Times New Roman" w:hAnsi="Times New Roman" w:cs="Times New Roman"/>
          <w:sz w:val="24"/>
          <w:szCs w:val="24"/>
          <w:lang w:eastAsia="hr-HR"/>
        </w:rPr>
        <w:t>geotermalnu energiju</w:t>
      </w:r>
      <w:r w:rsidR="008072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Sektor za poslovni razvoj i </w:t>
      </w:r>
      <w:r w:rsidR="000B58D7">
        <w:rPr>
          <w:rFonts w:ascii="Times New Roman" w:eastAsia="Times New Roman" w:hAnsi="Times New Roman" w:cs="Times New Roman"/>
          <w:sz w:val="24"/>
          <w:szCs w:val="24"/>
          <w:lang w:eastAsia="hr-HR"/>
        </w:rPr>
        <w:t>nove tehnologije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D7B4C2E" w14:textId="77777777" w:rsidR="003A7A5A" w:rsidRPr="006037CE" w:rsidRDefault="003A7A5A" w:rsidP="003A7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265707" w14:textId="77777777" w:rsidR="00536049" w:rsidRPr="006037CE" w:rsidRDefault="001751B6" w:rsidP="00175F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(3</w:t>
      </w:r>
      <w:r w:rsidR="00536049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) Ured Uprave o</w:t>
      </w:r>
      <w:r w:rsidR="00175FF4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rganizira i vodi </w:t>
      </w:r>
      <w:r w:rsidR="00536049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sve administrativne poslove u skladu sa propisima kojima se uređuje uredsko poslovanje i zaštita arhivskog gradiva te ostalim pripadajućim zakonskim propisima i općim aktima Agencije, poslove</w:t>
      </w:r>
      <w:r w:rsidR="00175FF4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službenog p</w:t>
      </w:r>
      <w:r w:rsidR="00536049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rotokola, poslove vezane uz odnose s javnošću, </w:t>
      </w:r>
      <w:r w:rsidR="00D45F98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poslove informatičke podrške, </w:t>
      </w:r>
      <w:r w:rsidR="00536049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kao i poslove vezane uz svu internu i eksternu komunikaciju Agencije.</w:t>
      </w:r>
      <w:r w:rsidR="00E902FC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FE58AF9" w14:textId="77777777" w:rsidR="00536049" w:rsidRPr="006037CE" w:rsidRDefault="00536049" w:rsidP="00175F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114DB9" w14:textId="7A94E951" w:rsidR="003A7A5A" w:rsidRPr="006037CE" w:rsidRDefault="001751B6" w:rsidP="003A7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(4</w:t>
      </w:r>
      <w:r w:rsidR="003A7A5A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Sektor </w:t>
      </w:r>
      <w:r w:rsidR="00536049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E32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opće, </w:t>
      </w:r>
      <w:r w:rsidR="006035A7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</w:t>
      </w:r>
      <w:r w:rsidR="00E327A9">
        <w:rPr>
          <w:rFonts w:ascii="Times New Roman" w:eastAsia="Times New Roman" w:hAnsi="Times New Roman" w:cs="Times New Roman"/>
          <w:sz w:val="24"/>
          <w:szCs w:val="24"/>
          <w:lang w:eastAsia="hr-HR"/>
        </w:rPr>
        <w:t>sk</w:t>
      </w:r>
      <w:r w:rsidR="006035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i </w:t>
      </w:r>
      <w:r w:rsidR="00536049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pravne poslove</w:t>
      </w:r>
      <w:r w:rsidR="003A7A5A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pruža organizira i vodi obavljanje pravnih i kadrovskih poslova te poslova nabave Agencije koji obuhvaćaju savjetovanje i pravnu podršku u radu svakog pojedinog Sektora Agencije, izradu općih akata Agencije i njihovo usklađenje sa zakonom, izradu ugovora, obavljanje poslova iz područja primjene Zakona o javnoj nabavi, planiranje i realizacija nabave, arhiviranje dokumentacije, kontinuirano praćenje zakonskih propisa te obavljanje drugih pravnih i stručnih poslova radi podršk</w:t>
      </w:r>
      <w:r w:rsidR="00536049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e radu ostalih Sektora Agencije</w:t>
      </w:r>
      <w:r w:rsidR="003A7A5A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D281C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Sektor </w:t>
      </w:r>
      <w:r w:rsidR="003A7A5A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vodi </w:t>
      </w:r>
      <w:r w:rsidR="004D281C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3A7A5A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sve financijske i računovodstvene poslove Agencije, koji uključuju poslove evidencije dokumentacije, obračun osnovne plaće dodataka na plaću te ostalih materijalnih prava radnika Agencije. Izrađuje godišnji financijski plan proračuna Agencije</w:t>
      </w:r>
      <w:r w:rsidR="00B04EE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A7A5A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prati izvršenje proračuna, izrađuje izvještaje za financijske i statističke potrebe, izrađuje financijske izvještaje i planove te završni račun, vodi knjigu ulaznih i izlaznih računa Agencije, </w:t>
      </w:r>
      <w:r w:rsidR="003A7A5A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knjigu blagajne, te evidenciju putnih naloga i isplatu putnih troškova. </w:t>
      </w:r>
      <w:r w:rsidR="004D281C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Unutar Sektora </w:t>
      </w:r>
      <w:r w:rsidR="00536049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6E15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opće, financijske i </w:t>
      </w:r>
      <w:r w:rsidR="006E1560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pravne </w:t>
      </w:r>
      <w:r w:rsidR="000B58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poslove </w:t>
      </w:r>
      <w:r w:rsidR="004D281C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ustrojavaju se </w:t>
      </w:r>
      <w:r w:rsidR="00E845E3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dvije službe</w:t>
      </w:r>
      <w:r w:rsidR="004D281C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6DF6ED3" w14:textId="77777777" w:rsidR="004D281C" w:rsidRPr="006037CE" w:rsidRDefault="004D281C" w:rsidP="003A7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AB6C77" w14:textId="4B7FC159" w:rsidR="001751B6" w:rsidRPr="006037CE" w:rsidRDefault="003A7A5A" w:rsidP="0017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(5) Sektor za upravljanje podacima zadužen je za prikupljanje i upravljanje </w:t>
      </w:r>
      <w:r w:rsidR="00202CD5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svim geološkim i geofizičkim 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poda</w:t>
      </w:r>
      <w:r w:rsidR="00202CD5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cima, kao i podacima o bušotinama te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pripremu i </w:t>
      </w:r>
      <w:r w:rsidR="000B58D7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organizi</w:t>
      </w:r>
      <w:r w:rsidR="000B58D7">
        <w:rPr>
          <w:rFonts w:ascii="Times New Roman" w:eastAsia="Times New Roman" w:hAnsi="Times New Roman" w:cs="Times New Roman"/>
          <w:sz w:val="24"/>
          <w:szCs w:val="24"/>
          <w:lang w:eastAsia="hr-HR"/>
        </w:rPr>
        <w:t>ra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prezentacij</w:t>
      </w:r>
      <w:r w:rsidR="000B58D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2CD5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u cilju upoznavanja potencijalnih investitora s ugljikovodičnim i geotermalnim potencijalima</w:t>
      </w:r>
      <w:r w:rsidR="006923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potencijalima za </w:t>
      </w:r>
      <w:r w:rsidR="00692344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skladištenje prirodnog plina i trajno zbrinjavanje ugljikovog dioksida</w:t>
      </w:r>
      <w:r w:rsidR="006923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2CD5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određenih područja Republike Hrvatske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Također, je zadužen za </w:t>
      </w:r>
      <w:r w:rsidR="00202CD5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uspostavljanje i vođenje sobe </w:t>
      </w:r>
      <w:r w:rsidR="006923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podacima u kojoj je omogućen pregled </w:t>
      </w:r>
      <w:r w:rsidR="00202CD5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92344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geološki</w:t>
      </w:r>
      <w:r w:rsidR="00692344">
        <w:rPr>
          <w:rFonts w:ascii="Times New Roman" w:eastAsia="Times New Roman" w:hAnsi="Times New Roman" w:cs="Times New Roman"/>
          <w:sz w:val="24"/>
          <w:szCs w:val="24"/>
          <w:lang w:eastAsia="hr-HR"/>
        </w:rPr>
        <w:t>h</w:t>
      </w:r>
      <w:r w:rsidR="00692344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2CD5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692344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geofizički</w:t>
      </w:r>
      <w:r w:rsidR="00692344">
        <w:rPr>
          <w:rFonts w:ascii="Times New Roman" w:eastAsia="Times New Roman" w:hAnsi="Times New Roman" w:cs="Times New Roman"/>
          <w:sz w:val="24"/>
          <w:szCs w:val="24"/>
          <w:lang w:eastAsia="hr-HR"/>
        </w:rPr>
        <w:t>h</w:t>
      </w:r>
      <w:r w:rsidR="00692344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poda</w:t>
      </w:r>
      <w:r w:rsidR="00692344">
        <w:rPr>
          <w:rFonts w:ascii="Times New Roman" w:eastAsia="Times New Roman" w:hAnsi="Times New Roman" w:cs="Times New Roman"/>
          <w:sz w:val="24"/>
          <w:szCs w:val="24"/>
          <w:lang w:eastAsia="hr-HR"/>
        </w:rPr>
        <w:t>taka</w:t>
      </w:r>
      <w:r w:rsidR="00202CD5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kao i </w:t>
      </w:r>
      <w:r w:rsidR="00692344">
        <w:rPr>
          <w:rFonts w:ascii="Times New Roman" w:eastAsia="Times New Roman" w:hAnsi="Times New Roman" w:cs="Times New Roman"/>
          <w:sz w:val="24"/>
          <w:szCs w:val="24"/>
          <w:lang w:eastAsia="hr-HR"/>
        </w:rPr>
        <w:t>podataka</w:t>
      </w:r>
      <w:r w:rsidR="00692344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2CD5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bušotinama (tzv. data room) </w:t>
      </w:r>
      <w:r w:rsidR="001751B6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radi omogućavanja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pristupa od strane zainteresiranih investitora te nadzor nad investitorima dok pregledavaju dostupne podatke u skladu s pravilima koje </w:t>
      </w:r>
      <w:r w:rsidR="00692344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</w:t>
      </w:r>
      <w:r w:rsidR="00692344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E1560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 nadležan za energetiku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751B6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923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Pregled podataka omogućava se i akademskim i obrazovnim zajednicama te državnim institucijama. </w:t>
      </w:r>
      <w:r w:rsidR="001751B6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Unutar Sektora za upravljanje podacima ustrojavaju se </w:t>
      </w:r>
      <w:r w:rsidR="00E845E3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dvije službe</w:t>
      </w:r>
      <w:r w:rsidR="001751B6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F6D0CF0" w14:textId="77777777" w:rsidR="003A7A5A" w:rsidRPr="006037CE" w:rsidRDefault="003A7A5A" w:rsidP="003A7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9628C2" w14:textId="42185229" w:rsidR="00110AA4" w:rsidRPr="006037CE" w:rsidRDefault="003A7A5A" w:rsidP="0011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516">
        <w:rPr>
          <w:rFonts w:ascii="Times New Roman" w:eastAsia="Times New Roman" w:hAnsi="Times New Roman" w:cs="Times New Roman"/>
          <w:sz w:val="24"/>
          <w:szCs w:val="24"/>
          <w:lang w:eastAsia="hr-HR"/>
        </w:rPr>
        <w:t>(6) Sektor</w:t>
      </w:r>
      <w:r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CB6DB3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zaštitu </w:t>
      </w:r>
      <w:r w:rsidR="00807280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</w:t>
      </w:r>
      <w:r w:rsidR="00CB6DB3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07280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prostor</w:t>
      </w:r>
      <w:r w:rsidR="00CB6DB3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>no uređenje</w:t>
      </w:r>
      <w:r w:rsidR="00807280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>zadužen je za praćenje obveza očuvanja prirode i okoliša i mjera sigurnosti za očuvanje istog, usklađivanje svih standarda zaštite okoliša i prirode</w:t>
      </w:r>
      <w:r w:rsidR="00913D1B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navedenih u projektima investitora prema nacionalnim propisima</w:t>
      </w:r>
      <w:r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0E19A2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 investitora u planiranju i provođenju potrebnih</w:t>
      </w:r>
      <w:r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19A2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mjera koje se odnose na zaštitu prirode, okoliša i zdravlja ljudi te primjene potrebnih </w:t>
      </w:r>
      <w:r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>korektivn</w:t>
      </w:r>
      <w:r w:rsidR="000E19A2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55DD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>mjer</w:t>
      </w:r>
      <w:r w:rsidR="000E19A2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D247D9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kao </w:t>
      </w:r>
      <w:r w:rsidR="00D247D9" w:rsidRPr="004505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BA46D4" w:rsidRPr="004505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sudjelovanje </w:t>
      </w:r>
      <w:r w:rsidR="00517C92" w:rsidRPr="004505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strateškoj procjeni planova, programa i strategija </w:t>
      </w:r>
      <w:r w:rsidR="00D247D9" w:rsidRPr="004505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vezanih uz </w:t>
      </w:r>
      <w:r w:rsidR="00C677CF" w:rsidRPr="004505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aktivnosti </w:t>
      </w:r>
      <w:r w:rsidR="00D247D9" w:rsidRPr="00450572">
        <w:rPr>
          <w:rFonts w:ascii="Times New Roman" w:eastAsia="Times New Roman" w:hAnsi="Times New Roman" w:cs="Times New Roman"/>
          <w:sz w:val="24"/>
          <w:szCs w:val="24"/>
          <w:lang w:eastAsia="hr-HR"/>
        </w:rPr>
        <w:t>istraživanj</w:t>
      </w:r>
      <w:r w:rsidR="00C677CF" w:rsidRPr="0045057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D247D9" w:rsidRPr="004505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eksploatacij</w:t>
      </w:r>
      <w:r w:rsidR="00C677CF" w:rsidRPr="00450572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247D9" w:rsidRPr="004505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247D9" w:rsidRPr="00450572">
        <w:rPr>
          <w:rFonts w:ascii="Times New Roman" w:eastAsia="Calibri" w:hAnsi="Times New Roman" w:cs="Times New Roman"/>
          <w:sz w:val="24"/>
          <w:szCs w:val="24"/>
          <w:lang w:eastAsia="hr-HR"/>
        </w:rPr>
        <w:t>ugljikovodika, geotermalne vode za energetske svrhe, podzemno skladištenje plina, kao i trajno zbrinjavanje ugljikova dioksida u geološkim strukturama</w:t>
      </w:r>
      <w:r w:rsidR="00913D1B" w:rsidRPr="0045057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te pripremu za provođenje zahvata s aspekta zaštite okoliša u smislu izrade projektne dokumentacije za </w:t>
      </w:r>
      <w:r w:rsidR="005D11D1" w:rsidRPr="00450572">
        <w:rPr>
          <w:rFonts w:ascii="Times New Roman" w:eastAsia="Calibri" w:hAnsi="Times New Roman" w:cs="Times New Roman"/>
          <w:sz w:val="24"/>
          <w:szCs w:val="24"/>
          <w:lang w:eastAsia="hr-HR"/>
        </w:rPr>
        <w:t>zahvate iz djelokruga djelatnosti</w:t>
      </w:r>
      <w:r w:rsidR="005D11D1" w:rsidRPr="0027298F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Agencije.</w:t>
      </w:r>
      <w:r w:rsidR="0045604A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10AA4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>Sektor</w:t>
      </w:r>
      <w:r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9A2C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zaštitu </w:t>
      </w:r>
      <w:r w:rsidR="006E1560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</w:t>
      </w:r>
      <w:r w:rsidR="009A2CF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45604A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07280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9A2CFC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</w:t>
      </w:r>
      <w:r w:rsidR="009A2CFC">
        <w:rPr>
          <w:rFonts w:ascii="Times New Roman" w:eastAsia="Times New Roman" w:hAnsi="Times New Roman" w:cs="Times New Roman"/>
          <w:sz w:val="24"/>
          <w:szCs w:val="24"/>
          <w:lang w:eastAsia="hr-HR"/>
        </w:rPr>
        <w:t>rnog uređenja</w:t>
      </w:r>
      <w:r w:rsidR="00807280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55DD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sudjeluje u radu </w:t>
      </w:r>
      <w:r w:rsidR="000E19A2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nekoliko međunarodnih radnih grupa </w:t>
      </w:r>
      <w:r w:rsidR="00110AA4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radu </w:t>
      </w:r>
      <w:r w:rsidR="00AC55DD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>Koordinacije</w:t>
      </w:r>
      <w:r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sigurnost pri </w:t>
      </w:r>
      <w:proofErr w:type="spellStart"/>
      <w:r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>odobalnom</w:t>
      </w:r>
      <w:proofErr w:type="spellEnd"/>
      <w:r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istraživanju i eksploataciji ugljikovodika</w:t>
      </w:r>
      <w:r w:rsidR="00AC55DD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(dalje u tekstu: Koordinacija)</w:t>
      </w:r>
      <w:r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10AA4" w:rsidRPr="0027298F">
        <w:rPr>
          <w:rFonts w:ascii="Times New Roman" w:eastAsia="Times New Roman" w:hAnsi="Times New Roman" w:cs="Times New Roman"/>
          <w:sz w:val="24"/>
          <w:szCs w:val="24"/>
          <w:lang w:eastAsia="hr-HR"/>
        </w:rPr>
        <w:t>koja je osnovana sukladno</w:t>
      </w:r>
      <w:r w:rsidR="00110AA4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propisu kojim se uređuje sigurnost pri </w:t>
      </w:r>
      <w:proofErr w:type="spellStart"/>
      <w:r w:rsidR="00110AA4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odobalnom</w:t>
      </w:r>
      <w:proofErr w:type="spellEnd"/>
      <w:r w:rsidR="00110AA4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istraživanj</w:t>
      </w:r>
      <w:r w:rsidR="00202CD5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 eksploataciji ugljikovodika. Sektor 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zadužen za </w:t>
      </w:r>
      <w:r w:rsidR="00202CD5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 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administrativne i operativne poslove Koordinacije, čuvanje dokumenata i vođenje arhive. </w:t>
      </w:r>
      <w:r w:rsidR="00C82368"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>Sektor je zadužen za pregled i analizu svih prostornih planova u svrhu podnošenja inicijativa za izradu, izmjenu i dopunu prostornih planova radi istraživanja i eksploatacije</w:t>
      </w:r>
      <w:r w:rsidR="00B26031"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>, izradu konkretnih prijedloga i rješenja koja se mogu implementirati u prostorne planove u svrhu realizacije projekata istraživanj</w:t>
      </w:r>
      <w:r w:rsidR="00736B7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26031"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eksploatacije te za suradnju sa tijelima državne uprave i jedinicama lokalne uprave i područne (regionalne) samouprave po pitanju prostornog planiranja</w:t>
      </w:r>
      <w:r w:rsidR="00C82368"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10AA4"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Unutar Sektora za </w:t>
      </w:r>
      <w:r w:rsidR="00DC09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zaštitu </w:t>
      </w:r>
      <w:r w:rsidR="006E1560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</w:t>
      </w:r>
      <w:r w:rsidR="00DC094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913D1B"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07280"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>i prostor</w:t>
      </w:r>
      <w:r w:rsidR="00DC0941">
        <w:rPr>
          <w:rFonts w:ascii="Times New Roman" w:eastAsia="Times New Roman" w:hAnsi="Times New Roman" w:cs="Times New Roman"/>
          <w:sz w:val="24"/>
          <w:szCs w:val="24"/>
          <w:lang w:eastAsia="hr-HR"/>
        </w:rPr>
        <w:t>no uređenje</w:t>
      </w:r>
      <w:r w:rsidR="00110AA4"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845E3"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>ustrojavaju se dvije službe</w:t>
      </w:r>
      <w:r w:rsidR="00110AA4"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CA65E96" w14:textId="77777777" w:rsidR="003A7A5A" w:rsidRPr="006037CE" w:rsidRDefault="003A7A5A" w:rsidP="003A7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877E99" w14:textId="78BFCB36" w:rsidR="003A7A5A" w:rsidRPr="006037CE" w:rsidRDefault="003A7A5A" w:rsidP="003A7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2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(7) </w:t>
      </w:r>
      <w:r w:rsidRPr="00B637A8">
        <w:rPr>
          <w:rFonts w:ascii="Times New Roman" w:eastAsia="Times New Roman" w:hAnsi="Times New Roman" w:cs="Times New Roman"/>
          <w:sz w:val="24"/>
          <w:szCs w:val="24"/>
          <w:lang w:eastAsia="hr-HR"/>
        </w:rPr>
        <w:t>Sektor za istraživanje i eksploataciju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zadužen je za praćenje trendova i međunarodnih standarda u istraživanju i eksploataciji ugljikovodika</w:t>
      </w:r>
      <w:r w:rsidR="00E845E3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, skladištenje prirodnog plina i trajno zbrinjavanje ugljikovog dioksida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, sudjelovanje u pripremi d</w:t>
      </w:r>
      <w:r w:rsidR="004D281C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okumenata potrebnih za naftno-rudarske </w:t>
      </w:r>
      <w:r w:rsidR="00E845E3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radove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sudjelovanje u provođenju jedinstvenog postupka za izdavanje dozvole i sklapanje ugovora, utvrđivanje troškova za istraživanje </w:t>
      </w:r>
      <w:r w:rsidR="004D281C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i eksploataciju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, sudjelovanje u izradi izvješća o izvršavanju obveza investitora na temelju izdanih dozvola i sklopljenih ugovora po pitanju istraživanja</w:t>
      </w:r>
      <w:r w:rsidR="004D281C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eksploatacije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sudjelovanje u praćenju količine istražnih </w:t>
      </w:r>
      <w:r w:rsidR="00E845E3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eksploatacijskih 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radova i minimalni</w:t>
      </w:r>
      <w:r w:rsidR="00E845E3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h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</w:t>
      </w:r>
      <w:r w:rsidR="00E845E3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sredstava koja će biti utrošena za izvođenje tih radova, mogućnost njihove revizije kao i visinu obeštećenja za neispunjene preuzetih obveza, sudjelovanje u odrezivanju uvjeta napuštanja istražnog prostora</w:t>
      </w:r>
      <w:r w:rsidR="00E845E3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eksploatacijskog polja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, sudjelovanje u utvrđiva</w:t>
      </w:r>
      <w:r w:rsidR="00E845E3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nju uvjeta likvidacije 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bušotine i površinske infrastrukture s razrađenim tehničkim i financijskim uvjetima, </w:t>
      </w:r>
      <w:r w:rsidR="00E845E3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sudjelovanje u određivanju uvjeta i načina obračuna povrata troškova po pitanju eksploatacije, sudjelovanje u određivanju uvjeta i pravila za određivanje, razradu i </w:t>
      </w:r>
      <w:r w:rsidR="00E845E3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financiranje uspostave eksploatacijskog polja, tijek eksploatacije te ukupni i godišnji program eksploatacije, sudjelovanje u određivanju uvjeta transporta ugljikovodika, uvjete za sanaciju eksploatacijskog polja, kao i 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 ostale poslove vezane uz istraživanje </w:t>
      </w:r>
      <w:r w:rsidR="00E845E3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i eksploataciju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D281C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Unutar Sektora </w:t>
      </w:r>
      <w:r w:rsidR="00E845E3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ustrojavaju se dvije službe</w:t>
      </w:r>
      <w:r w:rsidR="004D281C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A10B92D" w14:textId="77777777" w:rsidR="003A7A5A" w:rsidRPr="006037CE" w:rsidRDefault="003A7A5A" w:rsidP="003A7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9CEE75" w14:textId="4967CBB7" w:rsidR="003A7A5A" w:rsidRPr="006037CE" w:rsidRDefault="003A7A5A" w:rsidP="003A7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(8) Sektor za praćenje </w:t>
      </w:r>
      <w:r w:rsidR="004D281C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i podršku investitorima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zadužen je za izradu izvješća o izvršavanju obveza investitora na temelju izdanih dozvola i sklopljenih ugovora, kontrolu troškova po ugovoru u svrhu povrata troškova, praćenje ispunjenja obveza osiguranja radova, opreme i ljudi sukladno odredbama zakona, posebnih propisa Republike Hrvatske i međunarodnim standardima u istraživanju i eksploataciji, praćenje ispunjenja obveza odvajanja na poseban račun novčanog iznosa ili obvezu dostavljanja bankovne garancije za sanaciju istražnog prostora i/ili eksploatacijskog polja, vođenje registara </w:t>
      </w:r>
      <w:r w:rsidR="00AC55DD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ugovora, podršku investitorima te koordinaciju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između investitora i nadležnih državnih tijela pri dobivanju dozvola potrebnih za izvršavanje obveza investitora na temelju sklopljenih ugovora, podrška investitoru u svrhu rješavanja imovin</w:t>
      </w:r>
      <w:r w:rsidR="00AC55DD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skopravnih odnosa za zemljišne č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estice unutar istražnog prostora i/ili eksploatacijskog polja, izradu izvještaja prema Europskoj komisiji o svim općim poteškoćama s kojima se susreću investitori prilikom pristupa ili provođenja aktivnosti istraživanja i/ili eksploatacije ugljikovodika u trećim zemljama na koje im bude ukazano uz poštivanje poslovne tajne, sudjelovanje u određivanju prava vlasništva i prijenosa istoga nad imovinom nabavljenom i korištenom u tijeku izvršenja ugovora, sudjelovanje u određivanju pravila i uvjeta k</w:t>
      </w:r>
      <w:r w:rsidR="00AC55DD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orištenja javne infrastrukture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, suradnju s državnim tijelima</w:t>
      </w:r>
      <w:r w:rsidR="00AC55DD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D281C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i tijelima iz E</w:t>
      </w:r>
      <w:r w:rsidR="00AC55DD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uropske unije i svijeta, kao i sve druge poslove vezane uz praćenje i podršku investitorima. U</w:t>
      </w:r>
      <w:r w:rsidR="004D281C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nutar Sektora </w:t>
      </w:r>
      <w:r w:rsidR="00E845E3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praćenje i podršku investitorima </w:t>
      </w:r>
      <w:r w:rsidR="004D281C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ustrojavaju se </w:t>
      </w:r>
      <w:r w:rsidR="00E845E3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dvije službe</w:t>
      </w:r>
      <w:r w:rsidR="004D281C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574C2B1" w14:textId="77777777" w:rsidR="003A7A5A" w:rsidRPr="006037CE" w:rsidRDefault="003A7A5A" w:rsidP="003A7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5DBF03" w14:textId="61EBADD3" w:rsidR="003A7A5A" w:rsidRDefault="003A7A5A" w:rsidP="003A7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(9) Sektor za obvezne zalihe nafte i naftnih derivata zadužen je za poslove formiranja, organizacije skladištenja, upravljanja i nadzora nad obveznim zal</w:t>
      </w:r>
      <w:r w:rsidR="00AC55DD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ihama nafte i naftnih derivata, 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kupnju i prodaju nafte i naftnih derivata u svrhu formiranja i</w:t>
      </w:r>
      <w:r w:rsidR="00AC55DD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/ili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zanavljanja</w:t>
      </w:r>
      <w:proofErr w:type="spellEnd"/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zaliha, puštanje obveznih zaliha nafte i naftnih derivata na tržište u slučaju poremećaja opskrbe</w:t>
      </w:r>
      <w:r w:rsidR="00AC55DD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organizaciju, nadzor i upravljanje obveznim zalihama nafte i naftnih derivata, utvrđivanje uvjeta za skladištenje obveznih zaliha nafte i naftnih derivata, skladištenje naftnih derivata, skladištenje i/ili nadzor obveznih zaliha naftnih derivata drugih država koje se sukladno međudržavnim sporazumima i/ili direktivama Europske unije čuvaju na državnom području Republike Hrvatske, nadzor količine i kvalitete nafte, naftnih derivata i usluga, prikupljanje i obradu podataka o stanju i prometu komercijalnih, operativnih i obveznih zaliha nafte, odnosno naftnih derivata. </w:t>
      </w:r>
      <w:r w:rsidR="004D281C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Unutar Sektora </w:t>
      </w:r>
      <w:r w:rsidR="00E845E3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obvezne zalihe nafte i naftnih derivata </w:t>
      </w:r>
      <w:r w:rsidR="004D281C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ustrojavaju se </w:t>
      </w:r>
      <w:r w:rsidR="00E845E3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dvije službe</w:t>
      </w:r>
      <w:r w:rsidR="004D281C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9786B58" w14:textId="0BBAD3D5" w:rsidR="006C111E" w:rsidRDefault="006C111E" w:rsidP="003A7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814C20" w14:textId="5BC63622" w:rsidR="00EF0761" w:rsidRPr="00457098" w:rsidRDefault="00EF0761" w:rsidP="008072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(10) Sektor za </w:t>
      </w:r>
      <w:r w:rsidR="005A13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geotermalnu energiju </w:t>
      </w:r>
      <w:r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zadužen je za praćenje trendova i međunarodnih standarda u istraživanju i eksploataciji geotermalnih voda</w:t>
      </w:r>
      <w:r w:rsidR="005A13C0">
        <w:rPr>
          <w:rFonts w:ascii="Times New Roman" w:eastAsia="Times New Roman" w:hAnsi="Times New Roman" w:cs="Times New Roman"/>
          <w:sz w:val="24"/>
          <w:szCs w:val="24"/>
          <w:lang w:eastAsia="hr-HR"/>
        </w:rPr>
        <w:t>. Sektor za geoter</w:t>
      </w:r>
      <w:r w:rsidR="00BF3EAC">
        <w:rPr>
          <w:rFonts w:ascii="Times New Roman" w:eastAsia="Times New Roman" w:hAnsi="Times New Roman" w:cs="Times New Roman"/>
          <w:sz w:val="24"/>
          <w:szCs w:val="24"/>
          <w:lang w:eastAsia="hr-HR"/>
        </w:rPr>
        <w:t>malnu energiju</w:t>
      </w:r>
      <w:r w:rsidR="00BF3EAC"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sudje</w:t>
      </w:r>
      <w:r w:rsidR="00BF3EAC">
        <w:rPr>
          <w:rFonts w:ascii="Times New Roman" w:eastAsia="Times New Roman" w:hAnsi="Times New Roman" w:cs="Times New Roman"/>
          <w:sz w:val="24"/>
          <w:szCs w:val="24"/>
          <w:lang w:eastAsia="hr-HR"/>
        </w:rPr>
        <w:t>luje</w:t>
      </w:r>
      <w:r w:rsidR="005A13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određivanju uvjeta napuštanja istražnog prostora i eksploatacijskog polja, u utvrđivanju uvjeta likvidacije bušotine i površinske infrastrukture s razrađenim tehničkim i financijskim uvjetima</w:t>
      </w:r>
      <w:r w:rsidR="00BF3E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mogućnosti prenamjene postojećih bušotina za potrebe eksploatacije geotermalne vode </w:t>
      </w:r>
      <w:r w:rsidR="00DC0941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BF3E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energetske svrhe, </w:t>
      </w:r>
      <w:r w:rsidR="00992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nadzire </w:t>
      </w:r>
      <w:r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tijek eksploatacije te ukupni i godišnji program eksploatacije, te </w:t>
      </w:r>
      <w:r w:rsidR="00992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sudjeluje u davanju </w:t>
      </w:r>
      <w:r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>uvjet</w:t>
      </w:r>
      <w:r w:rsidR="0099260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sanaciju eksploatacijskog polja</w:t>
      </w:r>
      <w:r w:rsidR="00992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Sektor obavlja </w:t>
      </w:r>
      <w:r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sve ostale poslove vezane uz istraživanje i eksploataciju geotermalnih voda</w:t>
      </w:r>
      <w:r w:rsidR="00992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uključuje </w:t>
      </w:r>
      <w:r w:rsidR="005A13C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procjenu geotermalnog potencijala, </w:t>
      </w:r>
      <w:r w:rsidR="0099260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izradu naftno-rudarskih projekata i elaborata o rezervama, </w:t>
      </w:r>
      <w:r w:rsidR="00992607" w:rsidRPr="0045709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provedbu i koordinaciju naftno-rudarskih radova u svrhu ispitivanja geotermalnog potencijala na području Republike </w:t>
      </w:r>
      <w:r w:rsidR="00992607" w:rsidRPr="00457098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>Hrvatske</w:t>
      </w:r>
      <w:r w:rsidR="0099260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6C1A74" w:rsidRPr="0027298F">
        <w:rPr>
          <w:rFonts w:ascii="Times New Roman" w:eastAsia="Times New Roman" w:hAnsi="Times New Roman" w:cs="Times New Roman"/>
          <w:sz w:val="24"/>
          <w:szCs w:val="24"/>
        </w:rPr>
        <w:t>prati i</w:t>
      </w:r>
      <w:r w:rsidR="00992607" w:rsidRPr="0027298F">
        <w:rPr>
          <w:rFonts w:ascii="Times New Roman" w:eastAsia="Times New Roman" w:hAnsi="Times New Roman" w:cs="Times New Roman"/>
          <w:sz w:val="24"/>
          <w:szCs w:val="24"/>
        </w:rPr>
        <w:t xml:space="preserve"> sudjeluje u provedbi projekata financiranih iz fondova EU, </w:t>
      </w:r>
      <w:r w:rsidRPr="00457098">
        <w:rPr>
          <w:rFonts w:ascii="Times New Roman" w:eastAsia="Calibri" w:hAnsi="Times New Roman" w:cs="Times New Roman"/>
          <w:sz w:val="24"/>
          <w:szCs w:val="24"/>
          <w:lang w:eastAsia="hr-HR"/>
        </w:rPr>
        <w:t>utvrđ</w:t>
      </w:r>
      <w:r w:rsidR="00C82368" w:rsidRPr="00457098">
        <w:rPr>
          <w:rFonts w:ascii="Times New Roman" w:eastAsia="Calibri" w:hAnsi="Times New Roman" w:cs="Times New Roman"/>
          <w:sz w:val="24"/>
          <w:szCs w:val="24"/>
          <w:lang w:eastAsia="hr-HR"/>
        </w:rPr>
        <w:t>ivanje</w:t>
      </w:r>
      <w:r w:rsidRPr="0045709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preduvjet</w:t>
      </w:r>
      <w:r w:rsidR="00CB4A1D" w:rsidRPr="00457098"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 w:rsidRPr="0045709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za osnivanje razvojnog društva </w:t>
      </w:r>
      <w:r w:rsidR="00272A5E">
        <w:rPr>
          <w:rFonts w:ascii="Times New Roman" w:eastAsia="Calibri" w:hAnsi="Times New Roman" w:cs="Times New Roman"/>
          <w:sz w:val="24"/>
          <w:szCs w:val="24"/>
          <w:lang w:eastAsia="hr-HR"/>
        </w:rPr>
        <w:t>s ciljem poticanja</w:t>
      </w:r>
      <w:r w:rsidRPr="0045709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istraživanj</w:t>
      </w:r>
      <w:r w:rsidR="00272A5E"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 w:rsidRPr="0045709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eksploatacij</w:t>
      </w:r>
      <w:r w:rsidR="00272A5E">
        <w:rPr>
          <w:rFonts w:ascii="Times New Roman" w:eastAsia="Calibri" w:hAnsi="Times New Roman" w:cs="Times New Roman"/>
          <w:sz w:val="24"/>
          <w:szCs w:val="24"/>
          <w:lang w:eastAsia="hr-HR"/>
        </w:rPr>
        <w:t>e</w:t>
      </w:r>
      <w:r w:rsidRPr="0045709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geotermalnih voda</w:t>
      </w:r>
      <w:r w:rsidR="00C82368" w:rsidRPr="0045709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272A5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i daljnjeg razvoja geotermalnog potencijala </w:t>
      </w:r>
      <w:r w:rsidR="00C82368" w:rsidRPr="0045709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te </w:t>
      </w:r>
      <w:r w:rsidRPr="0045709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suradnju sa tijelima </w:t>
      </w:r>
      <w:r w:rsidR="00807280" w:rsidRPr="0045709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državne uprave, jedinicama lokalne i područne (regionalne) samouprave </w:t>
      </w:r>
      <w:r w:rsidRPr="00457098">
        <w:rPr>
          <w:rFonts w:ascii="Times New Roman" w:eastAsia="Calibri" w:hAnsi="Times New Roman" w:cs="Times New Roman"/>
          <w:sz w:val="24"/>
          <w:szCs w:val="24"/>
          <w:lang w:eastAsia="hr-HR"/>
        </w:rPr>
        <w:t>i pravnim osobama na područjima na kojima se koristi geotermalni potencijal</w:t>
      </w:r>
      <w:r w:rsidR="00B3568D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 w:rsidR="005A13C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</w:p>
    <w:p w14:paraId="2CFDA514" w14:textId="69A8CE24" w:rsidR="00EF0761" w:rsidRPr="00457098" w:rsidRDefault="00EF0761" w:rsidP="00EF07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Unutar Sektora </w:t>
      </w:r>
      <w:r w:rsidR="00807280"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EF43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geotermalnu energiju </w:t>
      </w:r>
      <w:r w:rsidR="00807280"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>ustrojavaju se dvije službe.</w:t>
      </w:r>
    </w:p>
    <w:p w14:paraId="761817FE" w14:textId="77777777" w:rsidR="00EF0761" w:rsidRPr="00457098" w:rsidRDefault="00EF0761" w:rsidP="00EF07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9AA72F" w14:textId="7B459AFF" w:rsidR="00CB4A1D" w:rsidRPr="006741F7" w:rsidRDefault="00EF0761" w:rsidP="003A7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(11) Sektor za poslovni razvoj i </w:t>
      </w:r>
      <w:r w:rsidR="00E327A9">
        <w:rPr>
          <w:rFonts w:ascii="Times New Roman" w:eastAsia="Times New Roman" w:hAnsi="Times New Roman" w:cs="Times New Roman"/>
          <w:sz w:val="24"/>
          <w:szCs w:val="24"/>
          <w:lang w:eastAsia="hr-HR"/>
        </w:rPr>
        <w:t>nove tehnologije</w:t>
      </w:r>
      <w:r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F6517" w:rsidRPr="00457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zadužen je za </w:t>
      </w:r>
      <w:r w:rsidR="00CF6517" w:rsidRPr="00457098">
        <w:rPr>
          <w:rFonts w:ascii="Times New Roman" w:eastAsia="Times New Roman" w:hAnsi="Times New Roman" w:cs="Times New Roman"/>
          <w:sz w:val="24"/>
          <w:szCs w:val="24"/>
        </w:rPr>
        <w:t xml:space="preserve">praćenje trendova i politike </w:t>
      </w:r>
      <w:r w:rsidR="00CF6517" w:rsidRPr="006741F7">
        <w:rPr>
          <w:rFonts w:ascii="Times New Roman" w:eastAsia="Times New Roman" w:hAnsi="Times New Roman" w:cs="Times New Roman"/>
          <w:sz w:val="24"/>
          <w:szCs w:val="24"/>
        </w:rPr>
        <w:t xml:space="preserve">razvoja energetskog sektora u Europi i svijetu, </w:t>
      </w:r>
      <w:r w:rsidR="00C82368" w:rsidRPr="006741F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F6517" w:rsidRPr="006741F7">
        <w:rPr>
          <w:rFonts w:ascii="Times New Roman" w:eastAsia="Times New Roman" w:hAnsi="Times New Roman" w:cs="Times New Roman"/>
          <w:sz w:val="24"/>
          <w:szCs w:val="24"/>
        </w:rPr>
        <w:t>uradnj</w:t>
      </w:r>
      <w:r w:rsidR="00C82368" w:rsidRPr="006741F7">
        <w:rPr>
          <w:rFonts w:ascii="Times New Roman" w:eastAsia="Times New Roman" w:hAnsi="Times New Roman" w:cs="Times New Roman"/>
          <w:sz w:val="24"/>
          <w:szCs w:val="24"/>
        </w:rPr>
        <w:t>u</w:t>
      </w:r>
      <w:r w:rsidR="00CF6517" w:rsidRPr="006741F7">
        <w:rPr>
          <w:rFonts w:ascii="Times New Roman" w:eastAsia="Times New Roman" w:hAnsi="Times New Roman" w:cs="Times New Roman"/>
          <w:sz w:val="24"/>
          <w:szCs w:val="24"/>
        </w:rPr>
        <w:t xml:space="preserve"> s državnim tijelima i pravnim osoba</w:t>
      </w:r>
      <w:r w:rsidR="00CB4A1D" w:rsidRPr="006741F7">
        <w:rPr>
          <w:rFonts w:ascii="Times New Roman" w:eastAsia="Times New Roman" w:hAnsi="Times New Roman" w:cs="Times New Roman"/>
          <w:sz w:val="24"/>
          <w:szCs w:val="24"/>
        </w:rPr>
        <w:t>ma</w:t>
      </w:r>
      <w:r w:rsidR="00CF6517" w:rsidRPr="006741F7">
        <w:rPr>
          <w:rFonts w:ascii="Times New Roman" w:eastAsia="Times New Roman" w:hAnsi="Times New Roman" w:cs="Times New Roman"/>
          <w:sz w:val="24"/>
          <w:szCs w:val="24"/>
        </w:rPr>
        <w:t xml:space="preserve"> koje sudjeluju u postupku energetske tranzicije</w:t>
      </w:r>
      <w:r w:rsidR="00C82368" w:rsidRPr="006741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6517" w:rsidRPr="006741F7">
        <w:rPr>
          <w:rFonts w:ascii="Times New Roman" w:eastAsia="Times New Roman" w:hAnsi="Times New Roman" w:cs="Times New Roman"/>
          <w:sz w:val="24"/>
          <w:szCs w:val="24"/>
        </w:rPr>
        <w:t>analiz</w:t>
      </w:r>
      <w:r w:rsidR="00C82368" w:rsidRPr="006741F7">
        <w:rPr>
          <w:rFonts w:ascii="Times New Roman" w:eastAsia="Times New Roman" w:hAnsi="Times New Roman" w:cs="Times New Roman"/>
          <w:sz w:val="24"/>
          <w:szCs w:val="24"/>
        </w:rPr>
        <w:t>u</w:t>
      </w:r>
      <w:r w:rsidR="00CF6517" w:rsidRPr="006741F7">
        <w:rPr>
          <w:rFonts w:ascii="Times New Roman" w:eastAsia="Times New Roman" w:hAnsi="Times New Roman" w:cs="Times New Roman"/>
          <w:sz w:val="24"/>
          <w:szCs w:val="24"/>
        </w:rPr>
        <w:t xml:space="preserve"> nacionalnih i europskih akata i dokumenata o energetskoj tranziciji</w:t>
      </w:r>
      <w:r w:rsidR="00C82368" w:rsidRPr="006741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6517" w:rsidRPr="006741F7">
        <w:rPr>
          <w:rFonts w:ascii="Times New Roman" w:eastAsia="Times New Roman" w:hAnsi="Times New Roman" w:cs="Times New Roman"/>
          <w:sz w:val="24"/>
          <w:szCs w:val="24"/>
        </w:rPr>
        <w:t>planiranje razvoja i načina korištenja obnovljivih izvora energije</w:t>
      </w:r>
      <w:r w:rsidR="00C82368" w:rsidRPr="006741F7">
        <w:rPr>
          <w:rFonts w:ascii="Times New Roman" w:eastAsia="Times New Roman" w:hAnsi="Times New Roman" w:cs="Times New Roman"/>
          <w:sz w:val="24"/>
          <w:szCs w:val="24"/>
        </w:rPr>
        <w:t xml:space="preserve">, razradu i implementaciju </w:t>
      </w:r>
      <w:r w:rsidR="00CF6517" w:rsidRPr="006741F7">
        <w:rPr>
          <w:rFonts w:ascii="Times New Roman" w:eastAsia="Times New Roman" w:hAnsi="Times New Roman" w:cs="Times New Roman"/>
          <w:sz w:val="24"/>
          <w:szCs w:val="24"/>
        </w:rPr>
        <w:t>projekata čiji je cilj iskorištavanje obnovljivih izvora energije</w:t>
      </w:r>
      <w:r w:rsidR="00C82368" w:rsidRPr="006741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6517" w:rsidRPr="006741F7">
        <w:rPr>
          <w:rFonts w:ascii="Times New Roman" w:eastAsia="Times New Roman" w:hAnsi="Times New Roman" w:cs="Times New Roman"/>
          <w:sz w:val="24"/>
          <w:szCs w:val="24"/>
        </w:rPr>
        <w:t>analiz</w:t>
      </w:r>
      <w:r w:rsidR="00C82368" w:rsidRPr="006741F7">
        <w:rPr>
          <w:rFonts w:ascii="Times New Roman" w:eastAsia="Times New Roman" w:hAnsi="Times New Roman" w:cs="Times New Roman"/>
          <w:sz w:val="24"/>
          <w:szCs w:val="24"/>
        </w:rPr>
        <w:t>u</w:t>
      </w:r>
      <w:r w:rsidR="00CF6517" w:rsidRPr="006741F7">
        <w:rPr>
          <w:rFonts w:ascii="Times New Roman" w:eastAsia="Times New Roman" w:hAnsi="Times New Roman" w:cs="Times New Roman"/>
          <w:sz w:val="24"/>
          <w:szCs w:val="24"/>
        </w:rPr>
        <w:t xml:space="preserve"> primjenjivih nov</w:t>
      </w:r>
      <w:r w:rsidR="00C82368" w:rsidRPr="006741F7">
        <w:rPr>
          <w:rFonts w:ascii="Times New Roman" w:eastAsia="Times New Roman" w:hAnsi="Times New Roman" w:cs="Times New Roman"/>
          <w:sz w:val="24"/>
          <w:szCs w:val="24"/>
        </w:rPr>
        <w:t>i</w:t>
      </w:r>
      <w:r w:rsidR="00CF6517" w:rsidRPr="006741F7">
        <w:rPr>
          <w:rFonts w:ascii="Times New Roman" w:eastAsia="Times New Roman" w:hAnsi="Times New Roman" w:cs="Times New Roman"/>
          <w:sz w:val="24"/>
          <w:szCs w:val="24"/>
        </w:rPr>
        <w:t>h tehnologija</w:t>
      </w:r>
      <w:r w:rsidR="00C82368" w:rsidRPr="006741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6517" w:rsidRPr="006741F7">
        <w:rPr>
          <w:rFonts w:ascii="Times New Roman" w:eastAsia="Times New Roman" w:hAnsi="Times New Roman" w:cs="Times New Roman"/>
          <w:sz w:val="24"/>
          <w:szCs w:val="24"/>
        </w:rPr>
        <w:t>formira</w:t>
      </w:r>
      <w:r w:rsidR="00C82368" w:rsidRPr="006741F7">
        <w:rPr>
          <w:rFonts w:ascii="Times New Roman" w:eastAsia="Times New Roman" w:hAnsi="Times New Roman" w:cs="Times New Roman"/>
          <w:sz w:val="24"/>
          <w:szCs w:val="24"/>
        </w:rPr>
        <w:t>nje</w:t>
      </w:r>
      <w:r w:rsidR="00CF6517" w:rsidRPr="006741F7">
        <w:rPr>
          <w:rFonts w:ascii="Times New Roman" w:eastAsia="Times New Roman" w:hAnsi="Times New Roman" w:cs="Times New Roman"/>
          <w:sz w:val="24"/>
          <w:szCs w:val="24"/>
        </w:rPr>
        <w:t xml:space="preserve"> prijedlog</w:t>
      </w:r>
      <w:r w:rsidR="00C82368" w:rsidRPr="006741F7">
        <w:rPr>
          <w:rFonts w:ascii="Times New Roman" w:eastAsia="Times New Roman" w:hAnsi="Times New Roman" w:cs="Times New Roman"/>
          <w:sz w:val="24"/>
          <w:szCs w:val="24"/>
        </w:rPr>
        <w:t>a</w:t>
      </w:r>
      <w:r w:rsidR="00CF6517" w:rsidRPr="006741F7">
        <w:rPr>
          <w:rFonts w:ascii="Times New Roman" w:eastAsia="Times New Roman" w:hAnsi="Times New Roman" w:cs="Times New Roman"/>
          <w:sz w:val="24"/>
          <w:szCs w:val="24"/>
        </w:rPr>
        <w:t xml:space="preserve"> za primjenu novih tehnologija</w:t>
      </w:r>
      <w:r w:rsidR="00C82368" w:rsidRPr="006741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6517" w:rsidRPr="006741F7">
        <w:rPr>
          <w:rFonts w:ascii="Times New Roman" w:eastAsia="Times New Roman" w:hAnsi="Times New Roman" w:cs="Times New Roman"/>
          <w:sz w:val="24"/>
          <w:szCs w:val="24"/>
        </w:rPr>
        <w:t>vođenje statistike i izračunavanje profitabilnost novih tehnologij</w:t>
      </w:r>
      <w:r w:rsidR="00C82368" w:rsidRPr="006741F7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="00CF6517" w:rsidRPr="006741F7">
        <w:rPr>
          <w:rFonts w:ascii="Times New Roman" w:eastAsia="Times New Roman" w:hAnsi="Times New Roman" w:cs="Times New Roman"/>
          <w:sz w:val="24"/>
          <w:szCs w:val="24"/>
        </w:rPr>
        <w:t>planiranje postupnog smanjenja iskorištavanja ugljikovodika</w:t>
      </w:r>
      <w:r w:rsidR="00C82368" w:rsidRPr="006741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6517" w:rsidRPr="006741F7">
        <w:rPr>
          <w:rFonts w:ascii="Times New Roman" w:eastAsia="Times New Roman" w:hAnsi="Times New Roman" w:cs="Times New Roman"/>
          <w:sz w:val="24"/>
          <w:szCs w:val="24"/>
        </w:rPr>
        <w:t xml:space="preserve">sastavljanje </w:t>
      </w:r>
      <w:r w:rsidR="00C82368" w:rsidRPr="006741F7">
        <w:rPr>
          <w:rFonts w:ascii="Times New Roman" w:eastAsia="Times New Roman" w:hAnsi="Times New Roman" w:cs="Times New Roman"/>
          <w:sz w:val="24"/>
          <w:szCs w:val="24"/>
        </w:rPr>
        <w:t xml:space="preserve">i predlaganje </w:t>
      </w:r>
      <w:r w:rsidR="00CF6517" w:rsidRPr="006741F7">
        <w:rPr>
          <w:rFonts w:ascii="Times New Roman" w:eastAsia="Times New Roman" w:hAnsi="Times New Roman" w:cs="Times New Roman"/>
          <w:sz w:val="24"/>
          <w:szCs w:val="24"/>
        </w:rPr>
        <w:t>učinkovitog plana za unapređenje poslovanja Agencije</w:t>
      </w:r>
      <w:r w:rsidR="00C82368" w:rsidRPr="006741F7">
        <w:rPr>
          <w:rFonts w:ascii="Times New Roman" w:eastAsia="Times New Roman" w:hAnsi="Times New Roman" w:cs="Times New Roman"/>
          <w:sz w:val="24"/>
          <w:szCs w:val="24"/>
        </w:rPr>
        <w:t xml:space="preserve">. Sektor je također zadužen za </w:t>
      </w:r>
      <w:r w:rsidR="00CF6517" w:rsidRPr="00674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1F7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poslove vezane uz pripremu, izradu, provedbu, nadzor i</w:t>
      </w:r>
      <w:r w:rsidR="00B26031" w:rsidRPr="006741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67899" w:rsidRPr="006741F7">
        <w:rPr>
          <w:rFonts w:ascii="Times New Roman" w:hAnsi="Times New Roman" w:cs="Times New Roman"/>
          <w:sz w:val="24"/>
          <w:szCs w:val="24"/>
          <w:shd w:val="clear" w:color="auto" w:fill="FFFFFF"/>
        </w:rPr>
        <w:t>koordinaci</w:t>
      </w:r>
      <w:r w:rsidR="00C82368" w:rsidRPr="006741F7">
        <w:rPr>
          <w:rFonts w:ascii="Times New Roman" w:hAnsi="Times New Roman" w:cs="Times New Roman"/>
          <w:sz w:val="24"/>
          <w:szCs w:val="24"/>
          <w:shd w:val="clear" w:color="auto" w:fill="FFFFFF"/>
        </w:rPr>
        <w:t>ju</w:t>
      </w:r>
      <w:r w:rsidR="00367899" w:rsidRPr="00674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4F91" w:rsidRPr="006741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svih aktivnosti na pripremi projekata sufinanciranih sredstvima EU radi učinkovitog korištenja europskih sredstava 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  <w:lang w:eastAsia="hr-HR"/>
        </w:rPr>
        <w:t>upravljanj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ciljevima projekta, opsegom projekata, planom rada, resursima projekta, projektnom komunikacijom, rizicima te kvalitetom rada. 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Sektoru se 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>izrađuje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 xml:space="preserve"> analiz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>a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 xml:space="preserve"> programa europskih strukturnih i investicijskih fondova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>pra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>te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 xml:space="preserve"> dostupni EU fondov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>određ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>uju se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 xml:space="preserve"> ciljeva koji 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>bi se mogli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 xml:space="preserve"> financirati iz EU fondova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>priprema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>ju se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 xml:space="preserve"> i razrađuj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>u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 xml:space="preserve"> projektne ideje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 xml:space="preserve"> te se izrađuju konkretni projekti</w:t>
      </w:r>
      <w:r w:rsidR="00D73729" w:rsidRPr="006741F7">
        <w:rPr>
          <w:rFonts w:ascii="Times New Roman" w:eastAsia="Times New Roman" w:hAnsi="Times New Roman" w:cs="Times New Roman"/>
          <w:sz w:val="24"/>
          <w:szCs w:val="24"/>
        </w:rPr>
        <w:t xml:space="preserve"> u suradnji sa ostalim sektorima Agencije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>, analiziraju se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 xml:space="preserve"> rizi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>ci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>, pretpostavk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>e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 xml:space="preserve"> i uvjet</w:t>
      </w:r>
      <w:r w:rsidR="00CB4A1D" w:rsidRPr="006741F7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 xml:space="preserve"> za prijavu financiranja projekata iz EU fondova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 xml:space="preserve">, izrađuje se 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>ostal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>a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 xml:space="preserve"> dokumentacij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>a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 xml:space="preserve"> potrebn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>a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 xml:space="preserve"> za prijavu projekta sukladno otvorenim natječajima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>pra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>ti se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 xml:space="preserve"> korištenj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>e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 xml:space="preserve"> financijskih sredstava dobivenih iz EU fondova za pojedini projekt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 xml:space="preserve"> odnosno s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>udjelovanje u provedbi projekta financiranog iz EU fonda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>osigurava koordinaciju i daje podršku drugim sektorima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 xml:space="preserve"> Agencije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 xml:space="preserve"> koji sudjeluju u provedbi projekata financiranih iz EU fondova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 xml:space="preserve"> te 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 xml:space="preserve">surađuje s državnim </w:t>
      </w:r>
      <w:r w:rsidR="00A05A4A" w:rsidRPr="006741F7">
        <w:rPr>
          <w:rFonts w:ascii="Times New Roman" w:eastAsia="Times New Roman" w:hAnsi="Times New Roman" w:cs="Times New Roman"/>
          <w:sz w:val="24"/>
          <w:szCs w:val="24"/>
        </w:rPr>
        <w:t xml:space="preserve">i javnopravnim </w:t>
      </w:r>
      <w:r w:rsidR="009A14E5" w:rsidRPr="006741F7">
        <w:rPr>
          <w:rFonts w:ascii="Times New Roman" w:eastAsia="Times New Roman" w:hAnsi="Times New Roman" w:cs="Times New Roman"/>
          <w:sz w:val="24"/>
          <w:szCs w:val="24"/>
        </w:rPr>
        <w:t>tijelima nadležnim za prijave i provedbu financiranja projekata iz EU fondova</w:t>
      </w:r>
      <w:r w:rsidR="00CB4A1D" w:rsidRPr="006741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DB3C29" w14:textId="2DFF09AB" w:rsidR="00CB4A1D" w:rsidRPr="006741F7" w:rsidRDefault="00CB4A1D" w:rsidP="003A7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1F7">
        <w:rPr>
          <w:rFonts w:ascii="Times New Roman" w:eastAsia="Times New Roman" w:hAnsi="Times New Roman" w:cs="Times New Roman"/>
          <w:sz w:val="24"/>
          <w:szCs w:val="24"/>
        </w:rPr>
        <w:t xml:space="preserve">Unutar Sektora </w:t>
      </w:r>
      <w:r w:rsidR="00807280" w:rsidRPr="006741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poslovni razvoj i </w:t>
      </w:r>
      <w:r w:rsidR="00CF3BA6" w:rsidRPr="006741F7">
        <w:rPr>
          <w:rFonts w:ascii="Times New Roman" w:eastAsia="Times New Roman" w:hAnsi="Times New Roman" w:cs="Times New Roman"/>
          <w:sz w:val="24"/>
          <w:szCs w:val="24"/>
          <w:lang w:eastAsia="hr-HR"/>
        </w:rPr>
        <w:t>nove tehnologije</w:t>
      </w:r>
      <w:r w:rsidR="00807280" w:rsidRPr="006741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741F7">
        <w:rPr>
          <w:rFonts w:ascii="Times New Roman" w:eastAsia="Times New Roman" w:hAnsi="Times New Roman" w:cs="Times New Roman"/>
          <w:sz w:val="24"/>
          <w:szCs w:val="24"/>
        </w:rPr>
        <w:t>ustrojavaju se dvije službe.</w:t>
      </w:r>
    </w:p>
    <w:p w14:paraId="0675D792" w14:textId="77777777" w:rsidR="003A7A5A" w:rsidRPr="006037CE" w:rsidRDefault="003A7A5A" w:rsidP="003A7A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84A223" w14:textId="634702E9" w:rsidR="001D32C0" w:rsidRDefault="003A7A5A" w:rsidP="004D28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(1</w:t>
      </w:r>
      <w:r w:rsidR="00B72C1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) Na pravni status zaposlenika Agencije, odnosno na postupak ostvarivanja njihovih prava i obveza iz radnog odnosa primjenjuju se opći akti Agencije.</w:t>
      </w:r>
    </w:p>
    <w:p w14:paraId="364793B0" w14:textId="77777777" w:rsidR="001D32C0" w:rsidRDefault="001D32C0" w:rsidP="004D28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3134E8" w14:textId="77777777" w:rsidR="003A7A5A" w:rsidRPr="006037CE" w:rsidRDefault="003A7A5A" w:rsidP="0053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C756A9" w14:textId="5F2BF2DF" w:rsidR="00296FD0" w:rsidRPr="006037CE" w:rsidRDefault="00FB4941" w:rsidP="00531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37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517C9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296FD0" w:rsidRPr="006037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37547BF2" w14:textId="77777777" w:rsidR="0053173A" w:rsidRPr="006037CE" w:rsidRDefault="0053173A" w:rsidP="0053173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C8C468" w14:textId="1EA7C224" w:rsidR="00446172" w:rsidRDefault="00257A69" w:rsidP="00B72C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517C92">
        <w:rPr>
          <w:rFonts w:ascii="Times New Roman" w:eastAsia="Times New Roman" w:hAnsi="Times New Roman" w:cs="Times New Roman"/>
          <w:sz w:val="24"/>
          <w:szCs w:val="24"/>
          <w:lang w:eastAsia="hr-HR"/>
        </w:rPr>
        <w:t>čl</w:t>
      </w:r>
      <w:r w:rsidR="00B72C17">
        <w:rPr>
          <w:rFonts w:ascii="Times New Roman" w:eastAsia="Times New Roman" w:hAnsi="Times New Roman" w:cs="Times New Roman"/>
          <w:sz w:val="24"/>
          <w:szCs w:val="24"/>
          <w:lang w:eastAsia="hr-HR"/>
        </w:rPr>
        <w:t>an</w:t>
      </w:r>
      <w:r w:rsidR="00517C92">
        <w:rPr>
          <w:rFonts w:ascii="Times New Roman" w:eastAsia="Times New Roman" w:hAnsi="Times New Roman" w:cs="Times New Roman"/>
          <w:sz w:val="24"/>
          <w:szCs w:val="24"/>
          <w:lang w:eastAsia="hr-HR"/>
        </w:rPr>
        <w:t>ku</w:t>
      </w:r>
      <w:r w:rsidR="00FB4941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13.</w:t>
      </w:r>
      <w:r w:rsidR="00B72C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stav</w:t>
      </w:r>
      <w:r w:rsidR="004461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 2. </w:t>
      </w:r>
      <w:r w:rsidR="00446172" w:rsidRPr="00446172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riječ: „središnjeg“ briše se</w:t>
      </w:r>
      <w:r w:rsidR="0044617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3D86A76" w14:textId="77777777" w:rsidR="00446172" w:rsidRDefault="00446172" w:rsidP="00B72C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8810FC" w14:textId="5A18A3DC" w:rsidR="008E7BCA" w:rsidRPr="006037CE" w:rsidRDefault="00446172" w:rsidP="00B72C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Stavak </w:t>
      </w:r>
      <w:r w:rsidR="00257A6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E7BCA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 se i glasi:</w:t>
      </w:r>
    </w:p>
    <w:p w14:paraId="2F0099F8" w14:textId="77777777" w:rsidR="008E7BCA" w:rsidRPr="006037CE" w:rsidRDefault="008E7BCA" w:rsidP="0053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77634A" w14:textId="31342B88" w:rsidR="00903988" w:rsidRDefault="00257A69" w:rsidP="0053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7A69">
        <w:rPr>
          <w:rFonts w:ascii="Times New Roman" w:eastAsia="Times New Roman" w:hAnsi="Times New Roman" w:cs="Times New Roman"/>
          <w:sz w:val="24"/>
          <w:szCs w:val="24"/>
          <w:lang w:eastAsia="hr-HR"/>
        </w:rPr>
        <w:t>„(3) Članove Upravnog vijeća čine državni dužnosnici iz ministarstva nadležnog za energetiku, ministarstva nadležnog za financije i ministarstva nadležnog za prostorno uređenje te dva člana iz reda rukovodećih državnih službenika sa odgovarajućim stručnim znanjima iz područja energetike i gospodarstva ili iz reda znanstvenika i stručnjaka iz područja energetike i gospodarstva.“</w:t>
      </w:r>
    </w:p>
    <w:p w14:paraId="70CDCD00" w14:textId="77777777" w:rsidR="00257A69" w:rsidRPr="006037CE" w:rsidRDefault="00257A69" w:rsidP="0053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0F99B4" w14:textId="7E53192B" w:rsidR="00456AD1" w:rsidRDefault="00446172" w:rsidP="0025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</w:t>
      </w:r>
      <w:r w:rsidR="00257A69">
        <w:rPr>
          <w:rFonts w:ascii="Times New Roman" w:eastAsia="Times New Roman" w:hAnsi="Times New Roman" w:cs="Times New Roman"/>
          <w:sz w:val="24"/>
          <w:szCs w:val="24"/>
          <w:lang w:eastAsia="hr-HR"/>
        </w:rPr>
        <w:t>tav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</w:t>
      </w:r>
      <w:r w:rsidR="00257A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 se i glasi:</w:t>
      </w:r>
    </w:p>
    <w:p w14:paraId="54F97630" w14:textId="0137FB1D" w:rsidR="00446172" w:rsidRDefault="00446172" w:rsidP="0025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A93BAF" w14:textId="1CA5C193" w:rsidR="00446172" w:rsidRDefault="00446172" w:rsidP="0025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4461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Članove </w:t>
      </w:r>
      <w:r w:rsidR="004058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predsjednika </w:t>
      </w:r>
      <w:r w:rsidRPr="00446172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Upravnog vijeća imenuje i razrješava dužnosti Vlada Republike Hrvatske</w:t>
      </w:r>
      <w:r w:rsidR="004058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prijedlog ministra nadležnog za energetiku</w:t>
      </w:r>
      <w:r w:rsidRPr="0044617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</w:p>
    <w:p w14:paraId="41CA0D2F" w14:textId="77777777" w:rsidR="00446172" w:rsidRDefault="00446172" w:rsidP="0025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85786" w14:textId="1DFD38BF" w:rsidR="00296FD0" w:rsidRPr="006037CE" w:rsidRDefault="007419F1" w:rsidP="00741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37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517C9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296FD0" w:rsidRPr="006037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A926DF2" w14:textId="77777777" w:rsidR="007419F1" w:rsidRPr="006037CE" w:rsidRDefault="007419F1" w:rsidP="00741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6C7F89" w14:textId="7EA63DF8" w:rsidR="003D1F0B" w:rsidRDefault="00751DC7" w:rsidP="0053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1E4A60">
        <w:rPr>
          <w:rFonts w:ascii="Times New Roman" w:eastAsia="Times New Roman" w:hAnsi="Times New Roman" w:cs="Times New Roman"/>
          <w:sz w:val="24"/>
          <w:szCs w:val="24"/>
          <w:lang w:eastAsia="hr-HR"/>
        </w:rPr>
        <w:t>25. mijenja se i glasi:</w:t>
      </w:r>
    </w:p>
    <w:p w14:paraId="4AA441EA" w14:textId="1A817A5D" w:rsidR="001E4A60" w:rsidRDefault="001E4A60" w:rsidP="0053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05FF1E" w14:textId="77777777" w:rsidR="001E4A60" w:rsidRPr="001E4A60" w:rsidRDefault="001E4A60" w:rsidP="001E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76554168"/>
      <w:r w:rsidRPr="001E4A60">
        <w:rPr>
          <w:rFonts w:ascii="Times New Roman" w:eastAsia="Times New Roman" w:hAnsi="Times New Roman" w:cs="Times New Roman"/>
          <w:sz w:val="24"/>
          <w:szCs w:val="24"/>
          <w:lang w:eastAsia="hr-HR"/>
        </w:rPr>
        <w:t>„(1) Sredstva za redovito obavljanje poslova iz djelokruga Agencije osiguravaju se u državnom proračunu Republike Hrvatske.</w:t>
      </w:r>
    </w:p>
    <w:p w14:paraId="6D18FCA2" w14:textId="77777777" w:rsidR="001E4A60" w:rsidRPr="001E4A60" w:rsidRDefault="001E4A60" w:rsidP="001E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A0D1C7" w14:textId="77777777" w:rsidR="001E4A60" w:rsidRPr="001E4A60" w:rsidRDefault="001E4A60" w:rsidP="001E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A60">
        <w:rPr>
          <w:rFonts w:ascii="Times New Roman" w:eastAsia="Times New Roman" w:hAnsi="Times New Roman" w:cs="Times New Roman"/>
          <w:sz w:val="24"/>
          <w:szCs w:val="24"/>
          <w:lang w:eastAsia="hr-HR"/>
        </w:rPr>
        <w:t>(2) Agencija ostvaruje i prihode od prodaje ili zamjene imovine u vlasništvu države iz poslovanja obveznim zalihama nafte i naftnih derivata koji se uplaćuju u državni proračun Republike Hrvatske, a čija se namjena korištenja propisuje ovim Zakonom.</w:t>
      </w:r>
    </w:p>
    <w:p w14:paraId="1E9CB41C" w14:textId="77777777" w:rsidR="001E4A60" w:rsidRPr="001E4A60" w:rsidRDefault="001E4A60" w:rsidP="001E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B6508A" w14:textId="77777777" w:rsidR="001E4A60" w:rsidRPr="001E4A60" w:rsidRDefault="001E4A60" w:rsidP="001E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A60">
        <w:rPr>
          <w:rFonts w:ascii="Times New Roman" w:eastAsia="Times New Roman" w:hAnsi="Times New Roman" w:cs="Times New Roman"/>
          <w:sz w:val="24"/>
          <w:szCs w:val="24"/>
          <w:lang w:eastAsia="hr-HR"/>
        </w:rPr>
        <w:t>(3) Namjenskim trošenjem prihoda iz stavka 2. ovoga članka smatra se:</w:t>
      </w:r>
    </w:p>
    <w:p w14:paraId="793CAB13" w14:textId="77777777" w:rsidR="001E4A60" w:rsidRPr="001E4A60" w:rsidRDefault="001E4A60" w:rsidP="001E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A60">
        <w:rPr>
          <w:rFonts w:ascii="Times New Roman" w:eastAsia="Times New Roman" w:hAnsi="Times New Roman" w:cs="Times New Roman"/>
          <w:sz w:val="24"/>
          <w:szCs w:val="24"/>
          <w:lang w:eastAsia="hr-HR"/>
        </w:rPr>
        <w:t>– podmirenje troškova kupnje nafte i naftnih derivata radi formiranja obveznih zaliha</w:t>
      </w:r>
    </w:p>
    <w:p w14:paraId="277BFC4D" w14:textId="77777777" w:rsidR="001E4A60" w:rsidRPr="001E4A60" w:rsidRDefault="001E4A60" w:rsidP="001E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A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podmirenje troškova osiguranja, skladištenja i </w:t>
      </w:r>
      <w:proofErr w:type="spellStart"/>
      <w:r w:rsidRPr="001E4A60">
        <w:rPr>
          <w:rFonts w:ascii="Times New Roman" w:eastAsia="Times New Roman" w:hAnsi="Times New Roman" w:cs="Times New Roman"/>
          <w:sz w:val="24"/>
          <w:szCs w:val="24"/>
          <w:lang w:eastAsia="hr-HR"/>
        </w:rPr>
        <w:t>zanavljanja</w:t>
      </w:r>
      <w:proofErr w:type="spellEnd"/>
      <w:r w:rsidRPr="001E4A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obveznih zaliha</w:t>
      </w:r>
    </w:p>
    <w:p w14:paraId="5A8AEE50" w14:textId="77777777" w:rsidR="001E4A60" w:rsidRPr="001E4A60" w:rsidRDefault="001E4A60" w:rsidP="001E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A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podmirenje troškova kontrole količine i kvalitete obveznih zaliha </w:t>
      </w:r>
    </w:p>
    <w:p w14:paraId="1EE552D3" w14:textId="77777777" w:rsidR="001E4A60" w:rsidRPr="001E4A60" w:rsidRDefault="001E4A60" w:rsidP="001E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A60">
        <w:rPr>
          <w:rFonts w:ascii="Times New Roman" w:eastAsia="Times New Roman" w:hAnsi="Times New Roman" w:cs="Times New Roman"/>
          <w:sz w:val="24"/>
          <w:szCs w:val="24"/>
          <w:lang w:eastAsia="hr-HR"/>
        </w:rPr>
        <w:t>– podmirenje troškova rada naftnih terminala u vlasništvu ili suvlasništvu Agencije i instalacija na pomorskom dobru koje Agencija koristi na temelju valjanog pravnog osnova</w:t>
      </w:r>
    </w:p>
    <w:p w14:paraId="5EA7215F" w14:textId="77777777" w:rsidR="001E4A60" w:rsidRPr="001E4A60" w:rsidRDefault="001E4A60" w:rsidP="001E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A60">
        <w:rPr>
          <w:rFonts w:ascii="Times New Roman" w:eastAsia="Times New Roman" w:hAnsi="Times New Roman" w:cs="Times New Roman"/>
          <w:sz w:val="24"/>
          <w:szCs w:val="24"/>
          <w:lang w:eastAsia="hr-HR"/>
        </w:rPr>
        <w:t>– podmirenje pratećih troškova u vezi sa stvaranjem preduvjeta za prihvat i skladištenje obveznih zaliha nafte i naftnih derivata, a s ciljem povećanja sigurnosti prijevoza i skladištenja opasnih tereta i ograničavanja mogućih negativnih utjecaja na okoliš</w:t>
      </w:r>
    </w:p>
    <w:p w14:paraId="4CB8269B" w14:textId="77777777" w:rsidR="001E4A60" w:rsidRPr="001E4A60" w:rsidRDefault="001E4A60" w:rsidP="001E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A60">
        <w:rPr>
          <w:rFonts w:ascii="Times New Roman" w:eastAsia="Times New Roman" w:hAnsi="Times New Roman" w:cs="Times New Roman"/>
          <w:sz w:val="24"/>
          <w:szCs w:val="24"/>
          <w:lang w:eastAsia="hr-HR"/>
        </w:rPr>
        <w:t>– kupnja, gradnja, rekonstrukcija i dogradnja spremnika, pripadajućih lučkih i kopnenih postrojenja i instalacija te upravljanje njima.</w:t>
      </w:r>
    </w:p>
    <w:p w14:paraId="4FADF421" w14:textId="77777777" w:rsidR="001E4A60" w:rsidRPr="001E4A60" w:rsidRDefault="001E4A60" w:rsidP="001E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3FF8C8" w14:textId="1DFFD509" w:rsidR="001E4A60" w:rsidRDefault="001E4A60" w:rsidP="001E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A60">
        <w:rPr>
          <w:rFonts w:ascii="Times New Roman" w:eastAsia="Times New Roman" w:hAnsi="Times New Roman" w:cs="Times New Roman"/>
          <w:sz w:val="24"/>
          <w:szCs w:val="24"/>
          <w:lang w:eastAsia="hr-HR"/>
        </w:rPr>
        <w:t>(4) Agencija može ostvarivati prihode i iz drugih izvora kao što su pomoći, donacije, sredstva iz fondova Europske unije i drugih sličnih fondova sukladno propisima, pod uvjetom da se time ne narušava njezina neovisnost.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</w:p>
    <w:p w14:paraId="7A9C6952" w14:textId="77777777" w:rsidR="00405862" w:rsidRPr="006037CE" w:rsidRDefault="00405862" w:rsidP="001E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1"/>
    <w:p w14:paraId="02134F71" w14:textId="0CC2E418" w:rsidR="00DD5F18" w:rsidRPr="006037CE" w:rsidRDefault="007419F1" w:rsidP="00741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037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 w:rsidR="0051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7</w:t>
      </w:r>
      <w:r w:rsidRPr="006037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39DB602B" w14:textId="77777777" w:rsidR="00330C37" w:rsidRPr="006037CE" w:rsidRDefault="00330C37" w:rsidP="0053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051B5B" w14:textId="13C991B6" w:rsidR="00DD5F18" w:rsidRPr="006037CE" w:rsidRDefault="00885BDA" w:rsidP="0088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Opći akti Agencije uskladit će se s Izmjenama Statuta Agencije za ugljikovodike u roku od </w:t>
      </w:r>
      <w:r w:rsidR="003A239E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mjesec dana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dana njihova stupanja na snagu.</w:t>
      </w:r>
    </w:p>
    <w:p w14:paraId="2469C13A" w14:textId="77777777" w:rsidR="001E4A60" w:rsidRDefault="001E4A60" w:rsidP="001E4A6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D6E5BF" w14:textId="2F9AA905" w:rsidR="00885BDA" w:rsidRPr="006037CE" w:rsidRDefault="00885BDA" w:rsidP="002E74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 w:rsidR="0051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8</w:t>
      </w:r>
      <w:r w:rsidRPr="006037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063891F4" w14:textId="36E7A8D7" w:rsidR="00885BDA" w:rsidRPr="006037CE" w:rsidRDefault="00885BDA" w:rsidP="0088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(1) Izmjene</w:t>
      </w:r>
      <w:r w:rsidRPr="006037CE">
        <w:rPr>
          <w:rFonts w:ascii="Times New Roman" w:hAnsi="Times New Roman" w:cs="Times New Roman"/>
          <w:sz w:val="24"/>
          <w:szCs w:val="24"/>
        </w:rPr>
        <w:t xml:space="preserve"> 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Statuta Agencije za ugljikovodike donosi Upravno vijeće nakon </w:t>
      </w:r>
      <w:r w:rsidR="003A239E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pribavljene </w:t>
      </w:r>
      <w:r w:rsidR="009804CD"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prethodne 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suglasnosti Vlade Republike Hrvatske.</w:t>
      </w:r>
    </w:p>
    <w:p w14:paraId="4343EEA5" w14:textId="77777777" w:rsidR="00885BDA" w:rsidRPr="006037CE" w:rsidRDefault="00885BDA" w:rsidP="0088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2701D7" w14:textId="124D6E88" w:rsidR="00885BDA" w:rsidRPr="006037CE" w:rsidRDefault="00885BDA" w:rsidP="0088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(2) Izmjene</w:t>
      </w:r>
      <w:r w:rsidRPr="006037CE">
        <w:rPr>
          <w:rFonts w:ascii="Times New Roman" w:hAnsi="Times New Roman" w:cs="Times New Roman"/>
          <w:sz w:val="24"/>
          <w:szCs w:val="24"/>
        </w:rPr>
        <w:t xml:space="preserve"> 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Statuta Agencije za ugljikovodike stupaju na snagu </w:t>
      </w:r>
      <w:r w:rsidR="001E4A60">
        <w:rPr>
          <w:rFonts w:ascii="Times New Roman" w:eastAsia="Times New Roman" w:hAnsi="Times New Roman" w:cs="Times New Roman"/>
          <w:sz w:val="24"/>
          <w:szCs w:val="24"/>
          <w:lang w:eastAsia="hr-HR"/>
        </w:rPr>
        <w:t>prvi dan nakon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objave na </w:t>
      </w:r>
      <w:r w:rsidR="001E4A60">
        <w:rPr>
          <w:rFonts w:ascii="Times New Roman" w:eastAsia="Times New Roman" w:hAnsi="Times New Roman" w:cs="Times New Roman"/>
          <w:sz w:val="24"/>
          <w:szCs w:val="24"/>
          <w:lang w:eastAsia="hr-HR"/>
        </w:rPr>
        <w:t>intr</w:t>
      </w:r>
      <w:r w:rsidR="0009703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1E4A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netskoj stranici i na </w:t>
      </w:r>
      <w:r w:rsidRPr="006037CE">
        <w:rPr>
          <w:rFonts w:ascii="Times New Roman" w:eastAsia="Times New Roman" w:hAnsi="Times New Roman" w:cs="Times New Roman"/>
          <w:sz w:val="24"/>
          <w:szCs w:val="24"/>
          <w:lang w:eastAsia="hr-HR"/>
        </w:rPr>
        <w:t>oglasnoj ploči Agencije.</w:t>
      </w:r>
    </w:p>
    <w:p w14:paraId="137E5D0A" w14:textId="77777777" w:rsidR="00885BDA" w:rsidRPr="006037CE" w:rsidRDefault="00885BDA" w:rsidP="00531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C40A7E" w14:textId="196C4FCB" w:rsidR="00406CE3" w:rsidRPr="00317697" w:rsidRDefault="00406CE3" w:rsidP="00531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69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FC0585" w:rsidRPr="003176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7697" w:rsidRPr="00317697">
        <w:rPr>
          <w:rFonts w:ascii="Times New Roman" w:eastAsia="Times New Roman" w:hAnsi="Times New Roman" w:cs="Times New Roman"/>
          <w:sz w:val="24"/>
          <w:szCs w:val="24"/>
          <w:lang w:eastAsia="hr-HR"/>
        </w:rPr>
        <w:t>012-03/14-01/06</w:t>
      </w:r>
    </w:p>
    <w:tbl>
      <w:tblPr>
        <w:tblStyle w:val="TableGrid"/>
        <w:tblpPr w:leftFromText="180" w:rightFromText="180" w:vertAnchor="text" w:horzAnchor="margin" w:tblpXSpec="right" w:tblpY="-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AC1A46" w:rsidRPr="00317697" w14:paraId="0B17FB82" w14:textId="77777777" w:rsidTr="00AC1A46">
        <w:tc>
          <w:tcPr>
            <w:tcW w:w="3396" w:type="dxa"/>
          </w:tcPr>
          <w:p w14:paraId="7754CBB6" w14:textId="77777777" w:rsidR="00AC1A46" w:rsidRPr="00317697" w:rsidRDefault="00AC1A46" w:rsidP="00AC1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76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Predsjednik Upravnog vijeća</w:t>
            </w:r>
          </w:p>
        </w:tc>
      </w:tr>
      <w:tr w:rsidR="00AC1A46" w:rsidRPr="00317697" w14:paraId="29EBBD0C" w14:textId="77777777" w:rsidTr="00AC1A46">
        <w:tc>
          <w:tcPr>
            <w:tcW w:w="3396" w:type="dxa"/>
          </w:tcPr>
          <w:p w14:paraId="11D3BE69" w14:textId="77777777" w:rsidR="00AC1A46" w:rsidRPr="00317697" w:rsidRDefault="00AC1A46" w:rsidP="00AC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76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</w:t>
            </w:r>
          </w:p>
          <w:p w14:paraId="32185D67" w14:textId="620889AB" w:rsidR="00AC1A46" w:rsidRPr="00317697" w:rsidRDefault="00AC1A46" w:rsidP="00AC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76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IVO MILATIĆ</w:t>
            </w:r>
          </w:p>
          <w:p w14:paraId="6BC41494" w14:textId="77777777" w:rsidR="00AC1A46" w:rsidRPr="00317697" w:rsidRDefault="00AC1A46" w:rsidP="00AC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C565BA3" w14:textId="77777777" w:rsidR="00AC1A46" w:rsidRPr="00317697" w:rsidRDefault="00AC1A46" w:rsidP="00AC1A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8066F60" w14:textId="77777777" w:rsidR="00AC1A46" w:rsidRPr="00317697" w:rsidRDefault="00AC1A46" w:rsidP="00AC1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8D37704" w14:textId="77777777" w:rsidR="00885BDA" w:rsidRPr="00317697" w:rsidRDefault="00885BDA" w:rsidP="00531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4CEED2" w14:textId="38AA7816" w:rsidR="00885BDA" w:rsidRPr="00317697" w:rsidRDefault="00406CE3" w:rsidP="00531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69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FC0585" w:rsidRPr="003176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7697" w:rsidRPr="00317697">
        <w:rPr>
          <w:rFonts w:ascii="Times New Roman" w:eastAsia="Times New Roman" w:hAnsi="Times New Roman" w:cs="Times New Roman"/>
          <w:sz w:val="24"/>
          <w:szCs w:val="24"/>
          <w:lang w:eastAsia="hr-HR"/>
        </w:rPr>
        <w:t>405-01/01-21-</w:t>
      </w:r>
      <w:r w:rsidR="002E670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14:paraId="43F58D20" w14:textId="77777777" w:rsidR="002E7409" w:rsidRPr="00AC1A46" w:rsidRDefault="002E7409" w:rsidP="00531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14:paraId="6743B95E" w14:textId="4FB351DF" w:rsidR="00FF0E51" w:rsidRPr="00450572" w:rsidRDefault="00FF0E51" w:rsidP="00531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7033">
        <w:rPr>
          <w:rFonts w:ascii="Times New Roman" w:eastAsia="Times New Roman" w:hAnsi="Times New Roman" w:cs="Times New Roman"/>
          <w:sz w:val="24"/>
          <w:szCs w:val="24"/>
          <w:lang w:eastAsia="hr-HR"/>
        </w:rPr>
        <w:t>U Zagrebu</w:t>
      </w:r>
      <w:r w:rsidR="00F753E6" w:rsidRPr="00097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97033" w:rsidRPr="0009703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2E7409" w:rsidRPr="00097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C1A46" w:rsidRPr="00097033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2E7409" w:rsidRPr="000970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2021.</w:t>
      </w:r>
    </w:p>
    <w:p w14:paraId="1DC74190" w14:textId="575F1A16" w:rsidR="008655D2" w:rsidRPr="00E40B7C" w:rsidRDefault="008655D2" w:rsidP="00EA4308"/>
    <w:sectPr w:rsidR="008655D2" w:rsidRPr="00E40B7C" w:rsidSect="00C75334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6DFE" w14:textId="77777777" w:rsidR="00691C42" w:rsidRDefault="00691C42" w:rsidP="00E41482">
      <w:pPr>
        <w:spacing w:after="0" w:line="240" w:lineRule="auto"/>
      </w:pPr>
      <w:r>
        <w:separator/>
      </w:r>
    </w:p>
  </w:endnote>
  <w:endnote w:type="continuationSeparator" w:id="0">
    <w:p w14:paraId="1A815571" w14:textId="77777777" w:rsidR="00691C42" w:rsidRDefault="00691C42" w:rsidP="00E4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5847514"/>
      <w:docPartObj>
        <w:docPartGallery w:val="Page Numbers (Bottom of Page)"/>
        <w:docPartUnique/>
      </w:docPartObj>
    </w:sdtPr>
    <w:sdtContent>
      <w:p w14:paraId="50AD068E" w14:textId="02AFB1A1" w:rsidR="00E41482" w:rsidRDefault="00E41482" w:rsidP="00E4148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409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4650" w14:textId="77777777" w:rsidR="00691C42" w:rsidRDefault="00691C42" w:rsidP="00E41482">
      <w:pPr>
        <w:spacing w:after="0" w:line="240" w:lineRule="auto"/>
      </w:pPr>
      <w:r>
        <w:separator/>
      </w:r>
    </w:p>
  </w:footnote>
  <w:footnote w:type="continuationSeparator" w:id="0">
    <w:p w14:paraId="6B620DDC" w14:textId="77777777" w:rsidR="00691C42" w:rsidRDefault="00691C42" w:rsidP="00E4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70F"/>
    <w:multiLevelType w:val="multilevel"/>
    <w:tmpl w:val="F78A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35DEB"/>
    <w:multiLevelType w:val="hybridMultilevel"/>
    <w:tmpl w:val="AF0E1F06"/>
    <w:lvl w:ilvl="0" w:tplc="19C4B6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45F12"/>
    <w:multiLevelType w:val="hybridMultilevel"/>
    <w:tmpl w:val="1E58835C"/>
    <w:lvl w:ilvl="0" w:tplc="19C4B6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6D46EC"/>
    <w:multiLevelType w:val="hybridMultilevel"/>
    <w:tmpl w:val="60181500"/>
    <w:lvl w:ilvl="0" w:tplc="2718493E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38E5AFC"/>
    <w:multiLevelType w:val="hybridMultilevel"/>
    <w:tmpl w:val="F52C5DB8"/>
    <w:lvl w:ilvl="0" w:tplc="6F22C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424D"/>
    <w:multiLevelType w:val="hybridMultilevel"/>
    <w:tmpl w:val="8C6A3FF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AC2EB2"/>
    <w:multiLevelType w:val="hybridMultilevel"/>
    <w:tmpl w:val="60EE0198"/>
    <w:lvl w:ilvl="0" w:tplc="19C4B6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2A380A"/>
    <w:multiLevelType w:val="hybridMultilevel"/>
    <w:tmpl w:val="181C3CB2"/>
    <w:lvl w:ilvl="0" w:tplc="041A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7583A"/>
    <w:multiLevelType w:val="multilevel"/>
    <w:tmpl w:val="C14C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B0FAF"/>
    <w:multiLevelType w:val="hybridMultilevel"/>
    <w:tmpl w:val="5F1AEE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E2464"/>
    <w:multiLevelType w:val="hybridMultilevel"/>
    <w:tmpl w:val="70E221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953C6"/>
    <w:multiLevelType w:val="hybridMultilevel"/>
    <w:tmpl w:val="371ED4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F4B40"/>
    <w:multiLevelType w:val="hybridMultilevel"/>
    <w:tmpl w:val="7A8258F2"/>
    <w:lvl w:ilvl="0" w:tplc="6E32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F7317"/>
    <w:multiLevelType w:val="hybridMultilevel"/>
    <w:tmpl w:val="33CA2292"/>
    <w:lvl w:ilvl="0" w:tplc="6E32ED1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85E23AC"/>
    <w:multiLevelType w:val="hybridMultilevel"/>
    <w:tmpl w:val="15500F12"/>
    <w:lvl w:ilvl="0" w:tplc="3A6467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253CAA"/>
    <w:multiLevelType w:val="hybridMultilevel"/>
    <w:tmpl w:val="260AB6F0"/>
    <w:lvl w:ilvl="0" w:tplc="906E6102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D1893"/>
    <w:multiLevelType w:val="hybridMultilevel"/>
    <w:tmpl w:val="F98E5CF6"/>
    <w:lvl w:ilvl="0" w:tplc="754E9E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1924EAC"/>
    <w:multiLevelType w:val="hybridMultilevel"/>
    <w:tmpl w:val="7090D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669ED"/>
    <w:multiLevelType w:val="hybridMultilevel"/>
    <w:tmpl w:val="DA1A9654"/>
    <w:lvl w:ilvl="0" w:tplc="6E32ED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E11DE5"/>
    <w:multiLevelType w:val="hybridMultilevel"/>
    <w:tmpl w:val="255CC7A8"/>
    <w:lvl w:ilvl="0" w:tplc="19C4B6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A120FF"/>
    <w:multiLevelType w:val="hybridMultilevel"/>
    <w:tmpl w:val="FDA40656"/>
    <w:lvl w:ilvl="0" w:tplc="19C4B6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BF57D2E"/>
    <w:multiLevelType w:val="hybridMultilevel"/>
    <w:tmpl w:val="4A7A8BAE"/>
    <w:lvl w:ilvl="0" w:tplc="0902E1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51B4A"/>
    <w:multiLevelType w:val="hybridMultilevel"/>
    <w:tmpl w:val="31FC0B08"/>
    <w:lvl w:ilvl="0" w:tplc="041A0017">
      <w:start w:val="1"/>
      <w:numFmt w:val="lowerLetter"/>
      <w:lvlText w:val="%1)"/>
      <w:lvlJc w:val="left"/>
      <w:pPr>
        <w:ind w:left="862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E6F0397"/>
    <w:multiLevelType w:val="multilevel"/>
    <w:tmpl w:val="A8A0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22901"/>
    <w:multiLevelType w:val="hybridMultilevel"/>
    <w:tmpl w:val="ACAE0CC4"/>
    <w:lvl w:ilvl="0" w:tplc="6E32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30584"/>
    <w:multiLevelType w:val="hybridMultilevel"/>
    <w:tmpl w:val="8BFA7B6E"/>
    <w:lvl w:ilvl="0" w:tplc="19C4B6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8F73B9"/>
    <w:multiLevelType w:val="hybridMultilevel"/>
    <w:tmpl w:val="E4DEA19A"/>
    <w:lvl w:ilvl="0" w:tplc="32DA43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D5AA3"/>
    <w:multiLevelType w:val="hybridMultilevel"/>
    <w:tmpl w:val="C4463D4A"/>
    <w:lvl w:ilvl="0" w:tplc="19C4B6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34481F"/>
    <w:multiLevelType w:val="hybridMultilevel"/>
    <w:tmpl w:val="312E2FBC"/>
    <w:lvl w:ilvl="0" w:tplc="19C4B6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215F81"/>
    <w:multiLevelType w:val="hybridMultilevel"/>
    <w:tmpl w:val="33D855F2"/>
    <w:lvl w:ilvl="0" w:tplc="19C4B61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C021F8E"/>
    <w:multiLevelType w:val="hybridMultilevel"/>
    <w:tmpl w:val="75B4DB04"/>
    <w:lvl w:ilvl="0" w:tplc="041A0017">
      <w:start w:val="1"/>
      <w:numFmt w:val="lowerLetter"/>
      <w:lvlText w:val="%1)"/>
      <w:lvlJc w:val="left"/>
      <w:pPr>
        <w:ind w:left="1077" w:hanging="360"/>
      </w:pPr>
      <w:rPr>
        <w:rFonts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D1E2B0F"/>
    <w:multiLevelType w:val="hybridMultilevel"/>
    <w:tmpl w:val="3DEAC8F0"/>
    <w:lvl w:ilvl="0" w:tplc="6E32ED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5658790">
    <w:abstractNumId w:val="18"/>
  </w:num>
  <w:num w:numId="2" w16cid:durableId="483736739">
    <w:abstractNumId w:val="16"/>
  </w:num>
  <w:num w:numId="3" w16cid:durableId="1621062532">
    <w:abstractNumId w:val="12"/>
  </w:num>
  <w:num w:numId="4" w16cid:durableId="1453667641">
    <w:abstractNumId w:val="24"/>
  </w:num>
  <w:num w:numId="5" w16cid:durableId="1783451398">
    <w:abstractNumId w:val="13"/>
  </w:num>
  <w:num w:numId="6" w16cid:durableId="767308990">
    <w:abstractNumId w:val="30"/>
  </w:num>
  <w:num w:numId="7" w16cid:durableId="289020161">
    <w:abstractNumId w:val="31"/>
  </w:num>
  <w:num w:numId="8" w16cid:durableId="60904781">
    <w:abstractNumId w:val="22"/>
  </w:num>
  <w:num w:numId="9" w16cid:durableId="381171234">
    <w:abstractNumId w:val="6"/>
  </w:num>
  <w:num w:numId="10" w16cid:durableId="1338073340">
    <w:abstractNumId w:val="9"/>
  </w:num>
  <w:num w:numId="11" w16cid:durableId="55444609">
    <w:abstractNumId w:val="14"/>
  </w:num>
  <w:num w:numId="12" w16cid:durableId="1883201381">
    <w:abstractNumId w:val="10"/>
  </w:num>
  <w:num w:numId="13" w16cid:durableId="1668942553">
    <w:abstractNumId w:val="3"/>
  </w:num>
  <w:num w:numId="14" w16cid:durableId="1435858896">
    <w:abstractNumId w:val="25"/>
  </w:num>
  <w:num w:numId="15" w16cid:durableId="703481534">
    <w:abstractNumId w:val="5"/>
  </w:num>
  <w:num w:numId="16" w16cid:durableId="1258055124">
    <w:abstractNumId w:val="17"/>
  </w:num>
  <w:num w:numId="17" w16cid:durableId="973095705">
    <w:abstractNumId w:val="1"/>
  </w:num>
  <w:num w:numId="18" w16cid:durableId="1295327737">
    <w:abstractNumId w:val="19"/>
  </w:num>
  <w:num w:numId="19" w16cid:durableId="1719862339">
    <w:abstractNumId w:val="28"/>
  </w:num>
  <w:num w:numId="20" w16cid:durableId="1778140986">
    <w:abstractNumId w:val="27"/>
  </w:num>
  <w:num w:numId="21" w16cid:durableId="686057208">
    <w:abstractNumId w:val="2"/>
  </w:num>
  <w:num w:numId="22" w16cid:durableId="1091122267">
    <w:abstractNumId w:val="29"/>
  </w:num>
  <w:num w:numId="23" w16cid:durableId="2115127930">
    <w:abstractNumId w:val="20"/>
  </w:num>
  <w:num w:numId="24" w16cid:durableId="1298756426">
    <w:abstractNumId w:val="4"/>
  </w:num>
  <w:num w:numId="25" w16cid:durableId="1340739174">
    <w:abstractNumId w:val="7"/>
  </w:num>
  <w:num w:numId="26" w16cid:durableId="446389944">
    <w:abstractNumId w:val="23"/>
  </w:num>
  <w:num w:numId="27" w16cid:durableId="1730765223">
    <w:abstractNumId w:val="15"/>
  </w:num>
  <w:num w:numId="28" w16cid:durableId="2124423331">
    <w:abstractNumId w:val="0"/>
  </w:num>
  <w:num w:numId="29" w16cid:durableId="1051921184">
    <w:abstractNumId w:val="8"/>
  </w:num>
  <w:num w:numId="30" w16cid:durableId="642809745">
    <w:abstractNumId w:val="21"/>
  </w:num>
  <w:num w:numId="31" w16cid:durableId="1370228145">
    <w:abstractNumId w:val="26"/>
  </w:num>
  <w:num w:numId="32" w16cid:durableId="1728263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D0"/>
    <w:rsid w:val="00016471"/>
    <w:rsid w:val="000165B8"/>
    <w:rsid w:val="0003653B"/>
    <w:rsid w:val="0006176A"/>
    <w:rsid w:val="00066A14"/>
    <w:rsid w:val="00083D0D"/>
    <w:rsid w:val="00097033"/>
    <w:rsid w:val="00097828"/>
    <w:rsid w:val="000B58D7"/>
    <w:rsid w:val="000E19A2"/>
    <w:rsid w:val="000F1AEA"/>
    <w:rsid w:val="000F387A"/>
    <w:rsid w:val="00110AA4"/>
    <w:rsid w:val="00127279"/>
    <w:rsid w:val="00131E1C"/>
    <w:rsid w:val="001471C5"/>
    <w:rsid w:val="00150246"/>
    <w:rsid w:val="00150EC6"/>
    <w:rsid w:val="00153070"/>
    <w:rsid w:val="00165342"/>
    <w:rsid w:val="001654A1"/>
    <w:rsid w:val="00170285"/>
    <w:rsid w:val="001751B6"/>
    <w:rsid w:val="00175FF4"/>
    <w:rsid w:val="00185385"/>
    <w:rsid w:val="001B51D6"/>
    <w:rsid w:val="001C47F2"/>
    <w:rsid w:val="001D07D1"/>
    <w:rsid w:val="001D32C0"/>
    <w:rsid w:val="001D6142"/>
    <w:rsid w:val="001E3165"/>
    <w:rsid w:val="001E4A60"/>
    <w:rsid w:val="001F6FF0"/>
    <w:rsid w:val="00202CD5"/>
    <w:rsid w:val="00203F2C"/>
    <w:rsid w:val="00215EE8"/>
    <w:rsid w:val="00220516"/>
    <w:rsid w:val="0022634D"/>
    <w:rsid w:val="002519C3"/>
    <w:rsid w:val="002560D5"/>
    <w:rsid w:val="00257A69"/>
    <w:rsid w:val="0027298F"/>
    <w:rsid w:val="00272A5E"/>
    <w:rsid w:val="00296FD0"/>
    <w:rsid w:val="002E2266"/>
    <w:rsid w:val="002E670A"/>
    <w:rsid w:val="002E7409"/>
    <w:rsid w:val="0031175B"/>
    <w:rsid w:val="00317697"/>
    <w:rsid w:val="00330C37"/>
    <w:rsid w:val="00343217"/>
    <w:rsid w:val="00351A38"/>
    <w:rsid w:val="00353560"/>
    <w:rsid w:val="00367899"/>
    <w:rsid w:val="003851AF"/>
    <w:rsid w:val="0038724F"/>
    <w:rsid w:val="003A137C"/>
    <w:rsid w:val="003A239E"/>
    <w:rsid w:val="003A7A5A"/>
    <w:rsid w:val="003D1F0B"/>
    <w:rsid w:val="00405862"/>
    <w:rsid w:val="00406CE3"/>
    <w:rsid w:val="00410464"/>
    <w:rsid w:val="00421453"/>
    <w:rsid w:val="0042243F"/>
    <w:rsid w:val="004329D6"/>
    <w:rsid w:val="00445B64"/>
    <w:rsid w:val="00446172"/>
    <w:rsid w:val="00447FF3"/>
    <w:rsid w:val="00450572"/>
    <w:rsid w:val="00451EB6"/>
    <w:rsid w:val="0045300E"/>
    <w:rsid w:val="0045604A"/>
    <w:rsid w:val="00456AD1"/>
    <w:rsid w:val="00457098"/>
    <w:rsid w:val="00466C69"/>
    <w:rsid w:val="00480C06"/>
    <w:rsid w:val="00492592"/>
    <w:rsid w:val="004D281C"/>
    <w:rsid w:val="004E6041"/>
    <w:rsid w:val="004E6D3F"/>
    <w:rsid w:val="004F301A"/>
    <w:rsid w:val="004F673C"/>
    <w:rsid w:val="00505277"/>
    <w:rsid w:val="00517C92"/>
    <w:rsid w:val="0053173A"/>
    <w:rsid w:val="005329DE"/>
    <w:rsid w:val="00536049"/>
    <w:rsid w:val="0055493D"/>
    <w:rsid w:val="005824DF"/>
    <w:rsid w:val="005A13C0"/>
    <w:rsid w:val="005A4F35"/>
    <w:rsid w:val="005C3A1C"/>
    <w:rsid w:val="005D0AB1"/>
    <w:rsid w:val="005D11D1"/>
    <w:rsid w:val="006035A7"/>
    <w:rsid w:val="006037CE"/>
    <w:rsid w:val="00611674"/>
    <w:rsid w:val="006239B6"/>
    <w:rsid w:val="0062641C"/>
    <w:rsid w:val="00644F91"/>
    <w:rsid w:val="006665B5"/>
    <w:rsid w:val="006741F7"/>
    <w:rsid w:val="006774E1"/>
    <w:rsid w:val="00691C42"/>
    <w:rsid w:val="00692344"/>
    <w:rsid w:val="00695D75"/>
    <w:rsid w:val="00696745"/>
    <w:rsid w:val="006B7F02"/>
    <w:rsid w:val="006C111E"/>
    <w:rsid w:val="006C1A74"/>
    <w:rsid w:val="006E1560"/>
    <w:rsid w:val="00706506"/>
    <w:rsid w:val="00720558"/>
    <w:rsid w:val="0072505D"/>
    <w:rsid w:val="0072751B"/>
    <w:rsid w:val="00731DBE"/>
    <w:rsid w:val="00736B7C"/>
    <w:rsid w:val="007419F1"/>
    <w:rsid w:val="00747557"/>
    <w:rsid w:val="00751DC7"/>
    <w:rsid w:val="0075402A"/>
    <w:rsid w:val="0076714F"/>
    <w:rsid w:val="00783DC0"/>
    <w:rsid w:val="007B1BB6"/>
    <w:rsid w:val="007E3D7C"/>
    <w:rsid w:val="007F2D19"/>
    <w:rsid w:val="007F4DD0"/>
    <w:rsid w:val="00807280"/>
    <w:rsid w:val="00814E45"/>
    <w:rsid w:val="00822504"/>
    <w:rsid w:val="00861923"/>
    <w:rsid w:val="008655D2"/>
    <w:rsid w:val="00885BDA"/>
    <w:rsid w:val="00896EBB"/>
    <w:rsid w:val="008A68E2"/>
    <w:rsid w:val="008C4849"/>
    <w:rsid w:val="008D7BD9"/>
    <w:rsid w:val="008E7BCA"/>
    <w:rsid w:val="008F3969"/>
    <w:rsid w:val="008F5DAB"/>
    <w:rsid w:val="008F7024"/>
    <w:rsid w:val="0090199D"/>
    <w:rsid w:val="00903988"/>
    <w:rsid w:val="00906606"/>
    <w:rsid w:val="00913D1B"/>
    <w:rsid w:val="00940F94"/>
    <w:rsid w:val="009804CD"/>
    <w:rsid w:val="00992607"/>
    <w:rsid w:val="009A14E5"/>
    <w:rsid w:val="009A2CFC"/>
    <w:rsid w:val="009B6462"/>
    <w:rsid w:val="009C36A9"/>
    <w:rsid w:val="009C7FB6"/>
    <w:rsid w:val="009E7E01"/>
    <w:rsid w:val="009F5712"/>
    <w:rsid w:val="00A05A4A"/>
    <w:rsid w:val="00A100CE"/>
    <w:rsid w:val="00A1582D"/>
    <w:rsid w:val="00A23091"/>
    <w:rsid w:val="00A3113F"/>
    <w:rsid w:val="00A33F16"/>
    <w:rsid w:val="00A71F6F"/>
    <w:rsid w:val="00AC1A46"/>
    <w:rsid w:val="00AC55DD"/>
    <w:rsid w:val="00AD729C"/>
    <w:rsid w:val="00AE0BCA"/>
    <w:rsid w:val="00B04EE4"/>
    <w:rsid w:val="00B26031"/>
    <w:rsid w:val="00B305AE"/>
    <w:rsid w:val="00B3568D"/>
    <w:rsid w:val="00B3625A"/>
    <w:rsid w:val="00B36C08"/>
    <w:rsid w:val="00B637A8"/>
    <w:rsid w:val="00B72C17"/>
    <w:rsid w:val="00B759C3"/>
    <w:rsid w:val="00B929FD"/>
    <w:rsid w:val="00BA46D4"/>
    <w:rsid w:val="00BC3B6B"/>
    <w:rsid w:val="00BC716D"/>
    <w:rsid w:val="00BC7F1B"/>
    <w:rsid w:val="00BD63F2"/>
    <w:rsid w:val="00BF087E"/>
    <w:rsid w:val="00BF3EAC"/>
    <w:rsid w:val="00C064B8"/>
    <w:rsid w:val="00C63059"/>
    <w:rsid w:val="00C677CF"/>
    <w:rsid w:val="00C75334"/>
    <w:rsid w:val="00C82368"/>
    <w:rsid w:val="00C835EB"/>
    <w:rsid w:val="00C929AD"/>
    <w:rsid w:val="00CB4A1D"/>
    <w:rsid w:val="00CB5693"/>
    <w:rsid w:val="00CB6DB3"/>
    <w:rsid w:val="00CC751A"/>
    <w:rsid w:val="00CE348C"/>
    <w:rsid w:val="00CF3BA6"/>
    <w:rsid w:val="00CF6517"/>
    <w:rsid w:val="00D004B5"/>
    <w:rsid w:val="00D061F0"/>
    <w:rsid w:val="00D1574C"/>
    <w:rsid w:val="00D247D9"/>
    <w:rsid w:val="00D45F98"/>
    <w:rsid w:val="00D672D0"/>
    <w:rsid w:val="00D73729"/>
    <w:rsid w:val="00D761D4"/>
    <w:rsid w:val="00D80EEC"/>
    <w:rsid w:val="00D84D76"/>
    <w:rsid w:val="00D93296"/>
    <w:rsid w:val="00DA6FFB"/>
    <w:rsid w:val="00DB5CE5"/>
    <w:rsid w:val="00DC0941"/>
    <w:rsid w:val="00DC6215"/>
    <w:rsid w:val="00DD5F18"/>
    <w:rsid w:val="00DF0B52"/>
    <w:rsid w:val="00E045FE"/>
    <w:rsid w:val="00E13856"/>
    <w:rsid w:val="00E327A9"/>
    <w:rsid w:val="00E40B7C"/>
    <w:rsid w:val="00E41482"/>
    <w:rsid w:val="00E53D2D"/>
    <w:rsid w:val="00E6270C"/>
    <w:rsid w:val="00E837EB"/>
    <w:rsid w:val="00E83869"/>
    <w:rsid w:val="00E845E3"/>
    <w:rsid w:val="00E902FC"/>
    <w:rsid w:val="00E91455"/>
    <w:rsid w:val="00EA4308"/>
    <w:rsid w:val="00EA54C0"/>
    <w:rsid w:val="00EE16DC"/>
    <w:rsid w:val="00EF0761"/>
    <w:rsid w:val="00EF4385"/>
    <w:rsid w:val="00F22732"/>
    <w:rsid w:val="00F23E13"/>
    <w:rsid w:val="00F45FED"/>
    <w:rsid w:val="00F46A52"/>
    <w:rsid w:val="00F4790E"/>
    <w:rsid w:val="00F56F66"/>
    <w:rsid w:val="00F6202A"/>
    <w:rsid w:val="00F74FE7"/>
    <w:rsid w:val="00F753E6"/>
    <w:rsid w:val="00F81B51"/>
    <w:rsid w:val="00FB4941"/>
    <w:rsid w:val="00FC0585"/>
    <w:rsid w:val="00FD4A7D"/>
    <w:rsid w:val="00FD5F1B"/>
    <w:rsid w:val="00FE4152"/>
    <w:rsid w:val="00FE4D9F"/>
    <w:rsid w:val="00FE58F2"/>
    <w:rsid w:val="00FF0E51"/>
    <w:rsid w:val="00FF58DF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EEF2"/>
  <w15:docId w15:val="{62817E2C-9537-402F-9732-CA9EFB54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51"/>
    <w:pPr>
      <w:ind w:left="720"/>
      <w:contextualSpacing/>
    </w:pPr>
  </w:style>
  <w:style w:type="paragraph" w:customStyle="1" w:styleId="box455252">
    <w:name w:val="box_455252"/>
    <w:basedOn w:val="Normal"/>
    <w:rsid w:val="008F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31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1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1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1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13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317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482"/>
  </w:style>
  <w:style w:type="paragraph" w:styleId="Footer">
    <w:name w:val="footer"/>
    <w:basedOn w:val="Normal"/>
    <w:link w:val="FooterChar"/>
    <w:uiPriority w:val="99"/>
    <w:unhideWhenUsed/>
    <w:rsid w:val="00E4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482"/>
  </w:style>
  <w:style w:type="table" w:styleId="TableGrid">
    <w:name w:val="Table Grid"/>
    <w:basedOn w:val="TableNormal"/>
    <w:uiPriority w:val="59"/>
    <w:rsid w:val="001E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D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8-2">
    <w:name w:val="T-9/8-2"/>
    <w:rsid w:val="00695D75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590B-5DB2-4AE3-8029-0A5FD23A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3494</Words>
  <Characters>19917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Mladar</dc:creator>
  <cp:lastModifiedBy>Ana Petrović</cp:lastModifiedBy>
  <cp:revision>2</cp:revision>
  <cp:lastPrinted>2021-07-21T10:31:00Z</cp:lastPrinted>
  <dcterms:created xsi:type="dcterms:W3CDTF">2023-01-27T10:10:00Z</dcterms:created>
  <dcterms:modified xsi:type="dcterms:W3CDTF">2023-01-27T10:10:00Z</dcterms:modified>
</cp:coreProperties>
</file>